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方正小标宋简体" w:hAnsi="华文中宋" w:eastAsia="华文中宋"/>
          <w:spacing w:val="6"/>
          <w:sz w:val="38"/>
          <w:szCs w:val="38"/>
          <w:lang w:val="en-US" w:eastAsia="zh-CN"/>
        </w:rPr>
      </w:pPr>
      <w:bookmarkStart w:id="0" w:name="_Toc333133687"/>
      <w:r>
        <w:rPr>
          <w:rFonts w:hint="eastAsia" w:ascii="方正小标宋简体" w:hAnsi="华文中宋" w:eastAsia="华文中宋"/>
          <w:spacing w:val="6"/>
          <w:sz w:val="38"/>
          <w:szCs w:val="38"/>
        </w:rPr>
        <w:t>第六届上海高校青年教师教学竞赛</w:t>
      </w:r>
      <w:bookmarkEnd w:id="0"/>
      <w:r>
        <w:rPr>
          <w:rFonts w:hint="eastAsia" w:ascii="方正小标宋简体" w:hAnsi="华文中宋" w:eastAsia="华文中宋"/>
          <w:spacing w:val="6"/>
          <w:sz w:val="38"/>
          <w:szCs w:val="38"/>
          <w:lang w:val="en-US" w:eastAsia="zh-CN"/>
        </w:rPr>
        <w:t>预通知</w:t>
      </w:r>
    </w:p>
    <w:p>
      <w:pPr>
        <w:spacing w:line="520" w:lineRule="exact"/>
        <w:jc w:val="center"/>
        <w:rPr>
          <w:rFonts w:ascii="方正小标宋简体" w:hAnsi="华文中宋" w:eastAsia="方正小标宋简体" w:cs="华文中宋"/>
          <w:bCs/>
          <w:spacing w:val="-20"/>
          <w:sz w:val="38"/>
          <w:szCs w:val="38"/>
        </w:rPr>
      </w:pPr>
    </w:p>
    <w:p>
      <w:pPr>
        <w:spacing w:line="580" w:lineRule="exact"/>
        <w:outlineLvl w:val="0"/>
        <w:rPr>
          <w:rFonts w:ascii="仿宋_GB2312" w:hAnsi="仿宋" w:eastAsia="仿宋_GB2312"/>
          <w:sz w:val="30"/>
          <w:szCs w:val="30"/>
        </w:rPr>
      </w:pPr>
      <w:r>
        <w:rPr>
          <w:rFonts w:hint="eastAsia" w:ascii="仿宋_GB2312" w:hAnsi="仿宋" w:eastAsia="仿宋_GB2312"/>
          <w:sz w:val="30"/>
          <w:szCs w:val="30"/>
        </w:rPr>
        <w:t>各高校:</w:t>
      </w:r>
    </w:p>
    <w:p>
      <w:pPr>
        <w:tabs>
          <w:tab w:val="left" w:pos="5940"/>
        </w:tabs>
        <w:spacing w:line="58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为深入学习贯彻习近平新时代中国特色社会主义思想和党的二十大精神，深入落实习近平总书记关于教育和工会</w:t>
      </w:r>
      <w:r>
        <w:rPr>
          <w:rFonts w:hint="eastAsia" w:ascii="仿宋_GB2312" w:hAnsi="仿宋" w:eastAsia="仿宋_GB2312" w:cs="宋体"/>
          <w:kern w:val="0"/>
          <w:sz w:val="30"/>
          <w:szCs w:val="30"/>
          <w:lang w:eastAsia="zh-CN"/>
        </w:rPr>
        <w:t>工作</w:t>
      </w:r>
      <w:r>
        <w:rPr>
          <w:rFonts w:hint="eastAsia" w:ascii="仿宋_GB2312" w:hAnsi="仿宋" w:eastAsia="仿宋_GB2312" w:cs="宋体"/>
          <w:kern w:val="0"/>
          <w:sz w:val="30"/>
          <w:szCs w:val="30"/>
        </w:rPr>
        <w:t>的重要论述</w:t>
      </w:r>
      <w:r>
        <w:rPr>
          <w:rFonts w:eastAsia="仿宋_GB2312"/>
          <w:color w:val="000000"/>
          <w:sz w:val="30"/>
          <w:szCs w:val="30"/>
        </w:rPr>
        <w:t>、考察上海重要讲话精神</w:t>
      </w:r>
      <w:r>
        <w:rPr>
          <w:rFonts w:hint="eastAsia" w:ascii="仿宋_GB2312" w:hAnsi="仿宋" w:eastAsia="仿宋_GB2312" w:cs="宋体"/>
          <w:kern w:val="0"/>
          <w:sz w:val="30"/>
          <w:szCs w:val="30"/>
        </w:rPr>
        <w:t>，进一步</w:t>
      </w:r>
      <w:r>
        <w:rPr>
          <w:rFonts w:hint="eastAsia" w:ascii="仿宋_GB2312" w:hAnsi="仿宋" w:eastAsia="仿宋_GB2312" w:cs="宋体"/>
          <w:kern w:val="0"/>
          <w:sz w:val="30"/>
          <w:szCs w:val="30"/>
          <w:lang w:eastAsia="zh-CN"/>
        </w:rPr>
        <w:t>贯彻</w:t>
      </w:r>
      <w:r>
        <w:rPr>
          <w:rFonts w:hint="eastAsia" w:ascii="仿宋_GB2312" w:hAnsi="仿宋" w:eastAsia="仿宋_GB2312" w:cs="宋体"/>
          <w:kern w:val="0"/>
          <w:sz w:val="30"/>
          <w:szCs w:val="30"/>
        </w:rPr>
        <w:t>落实中国工会十八大精神，根据《中华全国总工会劳动和技能竞赛规划（2021-2025）》精神，</w:t>
      </w:r>
      <w:r>
        <w:rPr>
          <w:rFonts w:hint="eastAsia" w:ascii="仿宋_GB2312" w:hAnsi="仿宋" w:eastAsia="仿宋_GB2312" w:cs="宋体"/>
          <w:kern w:val="0"/>
          <w:sz w:val="30"/>
          <w:szCs w:val="30"/>
          <w:lang w:eastAsia="zh-CN"/>
        </w:rPr>
        <w:t>深入</w:t>
      </w:r>
      <w:r>
        <w:rPr>
          <w:rFonts w:hint="eastAsia" w:ascii="仿宋_GB2312" w:hAnsi="仿宋" w:eastAsia="仿宋_GB2312" w:cs="宋体"/>
          <w:kern w:val="0"/>
          <w:sz w:val="30"/>
          <w:szCs w:val="30"/>
        </w:rPr>
        <w:t>开展上海</w:t>
      </w:r>
      <w:r>
        <w:rPr>
          <w:rFonts w:hint="eastAsia" w:ascii="仿宋_GB2312" w:hAnsi="仿宋" w:eastAsia="仿宋_GB2312" w:cs="宋体"/>
          <w:kern w:val="0"/>
          <w:sz w:val="30"/>
          <w:szCs w:val="30"/>
          <w:lang w:eastAsia="zh-CN"/>
        </w:rPr>
        <w:t>高校</w:t>
      </w:r>
      <w:r>
        <w:rPr>
          <w:rFonts w:hint="eastAsia" w:ascii="仿宋_GB2312" w:hAnsi="仿宋" w:eastAsia="仿宋_GB2312" w:cs="宋体"/>
          <w:kern w:val="0"/>
          <w:sz w:val="30"/>
          <w:szCs w:val="30"/>
        </w:rPr>
        <w:t>职工劳动和技能竞赛，持续提升上海高校青年教师教育教学能力，牢牢把握立德树人根本任务，建设高素质专业化教师队伍，为党育人、为国育才，</w:t>
      </w:r>
      <w:r>
        <w:rPr>
          <w:rFonts w:hint="eastAsia" w:ascii="仿宋_GB2312" w:hAnsi="仿宋_GB2312" w:eastAsia="仿宋_GB2312" w:cs="仿宋_GB2312"/>
          <w:sz w:val="30"/>
          <w:szCs w:val="30"/>
        </w:rPr>
        <w:t>努力做好教育改革的探路者</w:t>
      </w:r>
      <w:r>
        <w:rPr>
          <w:rFonts w:hint="eastAsia" w:ascii="仿宋_GB2312" w:hAnsi="仿宋" w:eastAsia="仿宋_GB2312" w:cs="宋体"/>
          <w:kern w:val="0"/>
          <w:sz w:val="30"/>
          <w:szCs w:val="30"/>
        </w:rPr>
        <w:t>，市教卫工作党委、市教委、市总工会将联合举办第六届上海高校青年教师教学竞赛暨第七届全国高校青年教师教学竞赛选拔赛。现将有关事项通知如下：</w:t>
      </w:r>
    </w:p>
    <w:p>
      <w:pPr>
        <w:pStyle w:val="7"/>
        <w:spacing w:line="550" w:lineRule="exact"/>
        <w:ind w:left="600" w:firstLine="0" w:firstLineChars="0"/>
        <w:rPr>
          <w:rFonts w:ascii="黑体" w:hAnsi="黑体" w:eastAsia="黑体"/>
          <w:sz w:val="30"/>
          <w:szCs w:val="30"/>
        </w:rPr>
      </w:pPr>
      <w:r>
        <w:rPr>
          <w:rFonts w:hint="eastAsia" w:ascii="黑体" w:hAnsi="黑体" w:eastAsia="黑体"/>
          <w:sz w:val="30"/>
          <w:szCs w:val="30"/>
        </w:rPr>
        <w:t>一、竞赛宗旨</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rPr>
        <w:t>以“立德树人”为根本，以“上好一门课”为理念，坚持知识传授、能力培养与价值塑造相结合，注重“课程思政”改革，弘扬劳模精神、劳动精神和工匠精神，</w:t>
      </w:r>
      <w:r>
        <w:rPr>
          <w:rFonts w:hint="eastAsia" w:ascii="仿宋_GB2312" w:hAnsi="仿宋" w:eastAsia="仿宋_GB2312" w:cs="宋体"/>
          <w:kern w:val="0"/>
          <w:sz w:val="30"/>
          <w:szCs w:val="30"/>
        </w:rPr>
        <w:t>以赛促教，以赛促学，</w:t>
      </w:r>
      <w:r>
        <w:rPr>
          <w:rFonts w:hint="eastAsia" w:ascii="仿宋_GB2312" w:hAnsi="仿宋" w:eastAsia="仿宋_GB2312"/>
          <w:sz w:val="30"/>
          <w:szCs w:val="30"/>
        </w:rPr>
        <w:t>引领教师当好学生成长成才的引路人，推动打造一批教育理念先进、热爱教学的教学带头人，争做“大先生”、研究“真问题”，成为学生为学、为事、为人的</w:t>
      </w:r>
      <w:r>
        <w:rPr>
          <w:rFonts w:hint="eastAsia" w:ascii="仿宋_GB2312" w:hAnsi="仿宋" w:eastAsia="仿宋_GB2312"/>
          <w:sz w:val="30"/>
          <w:szCs w:val="30"/>
          <w:lang w:eastAsia="zh-CN"/>
        </w:rPr>
        <w:t>示</w:t>
      </w:r>
      <w:r>
        <w:rPr>
          <w:rFonts w:hint="eastAsia" w:ascii="仿宋_GB2312" w:hAnsi="仿宋" w:eastAsia="仿宋_GB2312"/>
          <w:sz w:val="30"/>
          <w:szCs w:val="30"/>
        </w:rPr>
        <w:t>范，</w:t>
      </w:r>
      <w:r>
        <w:rPr>
          <w:rFonts w:hint="eastAsia" w:ascii="仿宋_GB2312" w:hAnsi="仿宋" w:eastAsia="仿宋_GB2312" w:cs="宋体"/>
          <w:kern w:val="0"/>
          <w:sz w:val="30"/>
          <w:szCs w:val="30"/>
        </w:rPr>
        <w:t>助力打造特色一流的上海高等教育</w:t>
      </w:r>
      <w:r>
        <w:rPr>
          <w:rFonts w:hint="eastAsia" w:ascii="仿宋_GB2312" w:hAnsi="仿宋" w:eastAsia="仿宋_GB2312"/>
          <w:sz w:val="30"/>
          <w:szCs w:val="30"/>
        </w:rPr>
        <w:t>。</w:t>
      </w:r>
    </w:p>
    <w:p>
      <w:pPr>
        <w:spacing w:line="556" w:lineRule="exact"/>
        <w:ind w:firstLine="600" w:firstLineChars="200"/>
        <w:rPr>
          <w:rFonts w:ascii="黑体" w:hAnsi="黑体" w:eastAsia="黑体"/>
          <w:sz w:val="30"/>
          <w:szCs w:val="30"/>
        </w:rPr>
      </w:pPr>
      <w:r>
        <w:rPr>
          <w:rFonts w:hint="eastAsia" w:ascii="黑体" w:hAnsi="黑体" w:eastAsia="黑体"/>
          <w:sz w:val="30"/>
          <w:szCs w:val="30"/>
        </w:rPr>
        <w:t>二、竞赛学科及类别</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rPr>
        <w:t>此次竞赛设人文科学、社会科学、自然科学基础学科、自然科学应用学科、医学学科</w:t>
      </w:r>
      <w:r>
        <w:rPr>
          <w:rFonts w:hint="eastAsia" w:ascii="仿宋_GB2312" w:hAnsi="仿宋" w:eastAsia="仿宋_GB2312"/>
          <w:sz w:val="30"/>
          <w:szCs w:val="30"/>
          <w:lang w:eastAsia="zh-CN"/>
        </w:rPr>
        <w:t>、</w:t>
      </w:r>
      <w:r>
        <w:rPr>
          <w:rFonts w:hint="eastAsia" w:ascii="仿宋_GB2312" w:hAnsi="仿宋" w:eastAsia="仿宋_GB2312"/>
          <w:sz w:val="30"/>
          <w:szCs w:val="30"/>
        </w:rPr>
        <w:t>思想政治理论课专项和高职高专综合学科等七个组别。</w:t>
      </w:r>
    </w:p>
    <w:p>
      <w:pPr>
        <w:spacing w:line="556" w:lineRule="exact"/>
        <w:ind w:firstLine="600" w:firstLineChars="200"/>
        <w:rPr>
          <w:rFonts w:ascii="黑体" w:hAnsi="黑体" w:eastAsia="黑体"/>
          <w:sz w:val="30"/>
          <w:szCs w:val="30"/>
        </w:rPr>
      </w:pPr>
      <w:r>
        <w:rPr>
          <w:rFonts w:hint="eastAsia" w:ascii="黑体" w:hAnsi="黑体" w:eastAsia="黑体"/>
          <w:sz w:val="30"/>
          <w:szCs w:val="30"/>
        </w:rPr>
        <w:t>三、参赛对象</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rPr>
        <w:t>本市各级各类高等院校专职从事教育教学工作的青年教师均可报名参赛。经各高校初赛推荐、参加第六届上海高校青年教师教学竞赛的青年教师，年龄必须在40周岁以下（1983年8月31日以后出生），教龄须满3年，热爱教学、精于教学、爱岗敬业，在学生中广受好评。</w:t>
      </w:r>
    </w:p>
    <w:p>
      <w:pPr>
        <w:spacing w:line="556" w:lineRule="exact"/>
        <w:ind w:firstLine="600" w:firstLineChars="200"/>
        <w:rPr>
          <w:rFonts w:ascii="黑体" w:hAnsi="黑体" w:eastAsia="黑体"/>
          <w:sz w:val="30"/>
          <w:szCs w:val="30"/>
        </w:rPr>
      </w:pPr>
      <w:r>
        <w:rPr>
          <w:rFonts w:hint="eastAsia" w:ascii="黑体" w:hAnsi="黑体" w:eastAsia="黑体"/>
          <w:sz w:val="30"/>
          <w:szCs w:val="30"/>
        </w:rPr>
        <w:t>四、组织机制</w:t>
      </w:r>
    </w:p>
    <w:p>
      <w:pPr>
        <w:spacing w:line="550" w:lineRule="exact"/>
        <w:ind w:firstLine="600" w:firstLineChars="200"/>
        <w:rPr>
          <w:rFonts w:ascii="仿宋_GB2312" w:hAnsi="仿宋" w:eastAsia="仿宋_GB2312"/>
          <w:sz w:val="30"/>
          <w:szCs w:val="30"/>
        </w:rPr>
      </w:pPr>
      <w:r>
        <w:rPr>
          <w:rFonts w:hint="eastAsia" w:ascii="仿宋_GB2312" w:hAnsi="仿宋" w:eastAsia="仿宋_GB2312"/>
          <w:sz w:val="30"/>
          <w:szCs w:val="30"/>
          <w:lang w:eastAsia="zh-CN"/>
        </w:rPr>
        <w:t>（一）</w:t>
      </w:r>
      <w:r>
        <w:rPr>
          <w:rFonts w:hint="eastAsia" w:ascii="仿宋_GB2312" w:hAnsi="仿宋" w:eastAsia="仿宋_GB2312"/>
          <w:sz w:val="30"/>
          <w:szCs w:val="30"/>
        </w:rPr>
        <w:t>成立第六届上海高校青年教师教学竞赛组织委员会（以下简称“组委会”），负责竞赛事项的全面领导，下设办公室、评审委员会和监督委员会，办公室设在上海市教育工会。</w:t>
      </w:r>
    </w:p>
    <w:p>
      <w:pPr>
        <w:spacing w:line="550" w:lineRule="exact"/>
        <w:ind w:firstLine="600" w:firstLineChars="200"/>
        <w:rPr>
          <w:rFonts w:ascii="仿宋_GB2312" w:hAnsi="仿宋" w:eastAsia="仿宋_GB2312"/>
          <w:sz w:val="30"/>
          <w:szCs w:val="30"/>
        </w:rPr>
      </w:pPr>
      <w:r>
        <w:rPr>
          <w:rFonts w:hint="eastAsia" w:ascii="仿宋_GB2312" w:hAnsi="仿宋" w:eastAsia="仿宋_GB2312"/>
          <w:sz w:val="30"/>
          <w:szCs w:val="30"/>
          <w:lang w:eastAsia="zh-CN"/>
        </w:rPr>
        <w:t>（二）</w:t>
      </w:r>
      <w:r>
        <w:rPr>
          <w:rFonts w:hint="eastAsia" w:ascii="仿宋_GB2312" w:hAnsi="仿宋" w:eastAsia="仿宋_GB2312"/>
          <w:sz w:val="30"/>
          <w:szCs w:val="30"/>
        </w:rPr>
        <w:t xml:space="preserve">评审委员会由上海各高校相关专业的全国、上海教学名师和知名专家教授组成，独立、公正开展评审工作，每个竞赛组别设7名评委。 </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lang w:eastAsia="zh-CN"/>
        </w:rPr>
        <w:t>（三）</w:t>
      </w:r>
      <w:r>
        <w:rPr>
          <w:rFonts w:hint="eastAsia" w:ascii="仿宋_GB2312" w:hAnsi="仿宋" w:eastAsia="仿宋_GB2312"/>
          <w:sz w:val="30"/>
          <w:szCs w:val="30"/>
        </w:rPr>
        <w:t>监督委员会成员通过组委会民主推荐，由部分组委会成员、办公室成员和高校领队组成，负责全程监督赛场竞赛活动。</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lang w:eastAsia="zh-CN"/>
        </w:rPr>
        <w:t>（四）</w:t>
      </w:r>
      <w:r>
        <w:rPr>
          <w:rFonts w:hint="eastAsia" w:ascii="仿宋_GB2312" w:hAnsi="仿宋" w:eastAsia="仿宋_GB2312"/>
          <w:sz w:val="30"/>
          <w:szCs w:val="30"/>
        </w:rPr>
        <w:t>竞赛活动将引入第三方社会评估机制，确保竞赛公开、公平、公正，提升竞赛的参与度、满意度和受益率。</w:t>
      </w:r>
    </w:p>
    <w:p>
      <w:pPr>
        <w:spacing w:line="556" w:lineRule="exact"/>
        <w:ind w:firstLine="600" w:firstLineChars="200"/>
        <w:rPr>
          <w:rFonts w:ascii="黑体" w:hAnsi="黑体" w:eastAsia="黑体"/>
          <w:sz w:val="30"/>
          <w:szCs w:val="30"/>
        </w:rPr>
      </w:pPr>
      <w:r>
        <w:rPr>
          <w:rFonts w:hint="eastAsia" w:ascii="黑体" w:hAnsi="黑体" w:eastAsia="黑体"/>
          <w:sz w:val="30"/>
          <w:szCs w:val="30"/>
        </w:rPr>
        <w:t>五、竞赛实施</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lang w:eastAsia="zh-CN"/>
        </w:rPr>
        <w:t>（一）</w:t>
      </w:r>
      <w:r>
        <w:rPr>
          <w:rFonts w:hint="eastAsia" w:ascii="楷体_GB2312" w:hAnsi="仿宋" w:eastAsia="楷体_GB2312"/>
          <w:sz w:val="30"/>
          <w:szCs w:val="30"/>
        </w:rPr>
        <w:t>初赛</w:t>
      </w:r>
      <w:r>
        <w:rPr>
          <w:rFonts w:hint="eastAsia" w:ascii="仿宋_GB2312" w:hAnsi="仿宋" w:eastAsia="仿宋_GB2312"/>
          <w:sz w:val="30"/>
          <w:szCs w:val="30"/>
        </w:rPr>
        <w:t>。各高校根据实际情况，开展多种形式的青年教师教学竞赛初赛活动。</w:t>
      </w:r>
    </w:p>
    <w:p>
      <w:pPr>
        <w:spacing w:line="556" w:lineRule="exact"/>
        <w:ind w:firstLine="600" w:firstLineChars="200"/>
        <w:rPr>
          <w:rFonts w:hint="eastAsia" w:ascii="仿宋" w:hAnsi="仿宋" w:eastAsia="仿宋" w:cs="仿宋"/>
          <w:sz w:val="30"/>
          <w:szCs w:val="30"/>
        </w:rPr>
      </w:pPr>
      <w:r>
        <w:rPr>
          <w:rFonts w:hint="eastAsia" w:ascii="仿宋_GB2312" w:hAnsi="仿宋" w:eastAsia="仿宋_GB2312"/>
          <w:sz w:val="30"/>
          <w:szCs w:val="30"/>
          <w:lang w:eastAsia="zh-CN"/>
        </w:rPr>
        <w:t>（二）</w:t>
      </w:r>
      <w:r>
        <w:rPr>
          <w:rFonts w:hint="eastAsia" w:ascii="楷体_GB2312" w:hAnsi="仿宋" w:eastAsia="楷体_GB2312"/>
          <w:sz w:val="30"/>
          <w:szCs w:val="30"/>
        </w:rPr>
        <w:t>推荐报名</w:t>
      </w:r>
      <w:r>
        <w:rPr>
          <w:rFonts w:hint="eastAsia" w:ascii="楷体" w:hAnsi="楷体" w:eastAsia="楷体"/>
          <w:sz w:val="30"/>
          <w:szCs w:val="30"/>
        </w:rPr>
        <w:t>。</w:t>
      </w:r>
      <w:r>
        <w:rPr>
          <w:rFonts w:hint="eastAsia" w:ascii="仿宋" w:hAnsi="仿宋" w:eastAsia="仿宋" w:cs="仿宋"/>
          <w:sz w:val="30"/>
          <w:szCs w:val="30"/>
        </w:rPr>
        <w:t>以各高校为单位组队参加竞赛，</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4</w:t>
      </w:r>
      <w:r>
        <w:rPr>
          <w:rFonts w:hint="eastAsia" w:ascii="仿宋" w:hAnsi="仿宋" w:eastAsia="仿宋" w:cs="仿宋"/>
          <w:sz w:val="30"/>
          <w:szCs w:val="30"/>
        </w:rPr>
        <w:t>日-3月</w:t>
      </w:r>
      <w:r>
        <w:rPr>
          <w:rFonts w:hint="eastAsia" w:ascii="仿宋" w:hAnsi="仿宋" w:eastAsia="仿宋" w:cs="仿宋"/>
          <w:sz w:val="30"/>
          <w:szCs w:val="30"/>
          <w:lang w:val="en-US" w:eastAsia="zh-CN"/>
        </w:rPr>
        <w:t>6</w:t>
      </w:r>
      <w:r>
        <w:rPr>
          <w:rFonts w:hint="eastAsia" w:ascii="仿宋" w:hAnsi="仿宋" w:eastAsia="仿宋" w:cs="仿宋"/>
          <w:sz w:val="30"/>
          <w:szCs w:val="30"/>
        </w:rPr>
        <w:t>日，参赛选手通过上海市教育工会官网首页报名链接提交参赛信息，各高校通过上海市教育工会信息</w:t>
      </w:r>
      <w:r>
        <w:rPr>
          <w:rFonts w:hint="eastAsia" w:ascii="仿宋" w:hAnsi="仿宋" w:eastAsia="仿宋" w:cs="仿宋"/>
          <w:sz w:val="30"/>
          <w:szCs w:val="30"/>
          <w:lang w:val="en-US" w:eastAsia="zh-CN"/>
        </w:rPr>
        <w:t>系统</w:t>
      </w:r>
      <w:r>
        <w:rPr>
          <w:rFonts w:hint="eastAsia" w:ascii="仿宋" w:hAnsi="仿宋" w:eastAsia="仿宋" w:cs="仿宋"/>
          <w:sz w:val="30"/>
          <w:szCs w:val="30"/>
        </w:rPr>
        <w:t>审核选手报名信息，审核无误后提交完成竞赛正式报名。系统将自动生成《第六届上海高校青年教师教学竞赛参赛选手推荐表》，</w:t>
      </w:r>
      <w:r>
        <w:rPr>
          <w:rFonts w:hint="eastAsia" w:ascii="仿宋" w:hAnsi="仿宋" w:eastAsia="仿宋" w:cs="仿宋"/>
          <w:sz w:val="30"/>
          <w:szCs w:val="30"/>
          <w:lang w:eastAsia="zh-CN"/>
        </w:rPr>
        <w:t>各高校</w:t>
      </w:r>
      <w:r>
        <w:rPr>
          <w:rFonts w:hint="eastAsia" w:ascii="仿宋" w:hAnsi="仿宋" w:eastAsia="仿宋" w:cs="仿宋"/>
          <w:sz w:val="30"/>
          <w:szCs w:val="30"/>
        </w:rPr>
        <w:t>盖章后</w:t>
      </w:r>
      <w:r>
        <w:rPr>
          <w:rFonts w:hint="eastAsia" w:ascii="仿宋" w:hAnsi="仿宋" w:eastAsia="仿宋" w:cs="仿宋"/>
          <w:sz w:val="30"/>
          <w:szCs w:val="30"/>
          <w:lang w:eastAsia="zh-CN"/>
        </w:rPr>
        <w:t>，在系统中</w:t>
      </w:r>
      <w:r>
        <w:rPr>
          <w:rFonts w:hint="eastAsia" w:ascii="仿宋" w:hAnsi="仿宋" w:eastAsia="仿宋" w:cs="仿宋"/>
          <w:sz w:val="30"/>
          <w:szCs w:val="30"/>
        </w:rPr>
        <w:t>上传PDF扫描件</w:t>
      </w:r>
      <w:r>
        <w:rPr>
          <w:rFonts w:hint="eastAsia" w:ascii="仿宋" w:hAnsi="仿宋" w:eastAsia="仿宋" w:cs="仿宋"/>
          <w:sz w:val="30"/>
          <w:szCs w:val="30"/>
          <w:lang w:eastAsia="zh-CN"/>
        </w:rPr>
        <w:t>。</w:t>
      </w:r>
      <w:r>
        <w:rPr>
          <w:rFonts w:hint="eastAsia" w:ascii="仿宋" w:hAnsi="仿宋" w:eastAsia="仿宋" w:cs="仿宋"/>
          <w:sz w:val="30"/>
          <w:szCs w:val="30"/>
        </w:rPr>
        <w:t>请确保选手报名材料完整准确。</w:t>
      </w:r>
    </w:p>
    <w:p>
      <w:pPr>
        <w:spacing w:line="55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lang w:eastAsia="zh-CN"/>
        </w:rPr>
        <w:t>（三）</w:t>
      </w:r>
      <w:r>
        <w:rPr>
          <w:rFonts w:hint="eastAsia" w:ascii="楷体_GB2312" w:hAnsi="仿宋" w:eastAsia="楷体_GB2312"/>
          <w:sz w:val="30"/>
          <w:szCs w:val="30"/>
        </w:rPr>
        <w:t>报送参赛材料</w:t>
      </w:r>
      <w:r>
        <w:rPr>
          <w:rFonts w:hint="eastAsia" w:ascii="仿宋_GB2312" w:hAnsi="仿宋" w:eastAsia="仿宋_GB2312"/>
          <w:sz w:val="30"/>
          <w:szCs w:val="30"/>
        </w:rPr>
        <w:t>。3月</w:t>
      </w:r>
      <w:r>
        <w:rPr>
          <w:rFonts w:hint="eastAsia" w:ascii="仿宋_GB2312" w:hAnsi="仿宋" w:eastAsia="仿宋_GB2312"/>
          <w:sz w:val="30"/>
          <w:szCs w:val="30"/>
          <w:lang w:val="en-US" w:eastAsia="zh-CN"/>
        </w:rPr>
        <w:t>14</w:t>
      </w:r>
      <w:r>
        <w:rPr>
          <w:rFonts w:hint="eastAsia" w:ascii="仿宋_GB2312" w:hAnsi="仿宋" w:eastAsia="仿宋_GB2312"/>
          <w:sz w:val="30"/>
          <w:szCs w:val="30"/>
        </w:rPr>
        <w:t>日—3月</w:t>
      </w:r>
      <w:r>
        <w:rPr>
          <w:rFonts w:hint="eastAsia" w:ascii="仿宋_GB2312" w:hAnsi="仿宋" w:eastAsia="仿宋_GB2312"/>
          <w:sz w:val="30"/>
          <w:szCs w:val="30"/>
          <w:lang w:val="en-US" w:eastAsia="zh-CN"/>
        </w:rPr>
        <w:t>16</w:t>
      </w:r>
      <w:r>
        <w:rPr>
          <w:rFonts w:hint="eastAsia" w:ascii="仿宋_GB2312" w:hAnsi="仿宋" w:eastAsia="仿宋_GB2312"/>
          <w:sz w:val="30"/>
          <w:szCs w:val="30"/>
        </w:rPr>
        <w:t>日，</w:t>
      </w:r>
      <w:r>
        <w:rPr>
          <w:rFonts w:hint="eastAsia" w:ascii="仿宋_GB2312" w:hAnsi="仿宋" w:eastAsia="仿宋_GB2312"/>
          <w:sz w:val="30"/>
          <w:szCs w:val="30"/>
          <w:lang w:eastAsia="zh-CN"/>
        </w:rPr>
        <w:t>参赛</w:t>
      </w:r>
      <w:r>
        <w:rPr>
          <w:rFonts w:hint="eastAsia" w:ascii="仿宋_GB2312" w:hAnsi="仿宋" w:eastAsia="仿宋_GB2312"/>
          <w:sz w:val="30"/>
          <w:szCs w:val="30"/>
        </w:rPr>
        <w:t>选手通过上海市教育工会信息平台提交电子版竞赛材料，网络系统地址和提交事项等另行通知。竞赛材料包括：竞赛课程教学大纲、教学设计、课堂教学PPT及目录等所有材料。材料一经提交，不得进行更改或调换。逾期未报送者，视作放弃参赛资格。</w:t>
      </w:r>
    </w:p>
    <w:p>
      <w:pPr>
        <w:spacing w:line="55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lang w:eastAsia="zh-CN"/>
        </w:rPr>
        <w:t>（四）</w:t>
      </w:r>
      <w:r>
        <w:rPr>
          <w:rFonts w:hint="eastAsia" w:ascii="仿宋_GB2312" w:hAnsi="仿宋" w:eastAsia="仿宋_GB2312"/>
          <w:sz w:val="30"/>
          <w:szCs w:val="30"/>
        </w:rPr>
        <w:t>4月19日—4月21日，在上海师范大学举行“第六届上海高校青年教师教学竞赛”（比赛时间、地点另行通知）。</w:t>
      </w:r>
    </w:p>
    <w:p>
      <w:pPr>
        <w:spacing w:line="55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lang w:eastAsia="zh-CN"/>
        </w:rPr>
        <w:t>（五）</w:t>
      </w:r>
      <w:r>
        <w:rPr>
          <w:rFonts w:hint="eastAsia" w:ascii="仿宋_GB2312" w:hAnsi="仿宋" w:eastAsia="仿宋_GB2312"/>
          <w:sz w:val="30"/>
          <w:szCs w:val="30"/>
        </w:rPr>
        <w:t>4月27日，人文科学、社会科学、自然科学基础学科、自然科学应用学科、医学学科</w:t>
      </w:r>
      <w:r>
        <w:rPr>
          <w:rFonts w:hint="eastAsia" w:ascii="仿宋_GB2312" w:hAnsi="仿宋" w:eastAsia="仿宋_GB2312"/>
          <w:sz w:val="30"/>
          <w:szCs w:val="30"/>
          <w:lang w:eastAsia="zh-CN"/>
        </w:rPr>
        <w:t>和</w:t>
      </w:r>
      <w:r>
        <w:rPr>
          <w:rFonts w:hint="eastAsia" w:ascii="仿宋_GB2312" w:hAnsi="仿宋" w:eastAsia="仿宋_GB2312"/>
          <w:sz w:val="30"/>
          <w:szCs w:val="30"/>
        </w:rPr>
        <w:t>思想政治理论课专项的前三名参加全国竞赛选拔赛（比赛时间、地点、赛程安排另行通知）。</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六、奖项设置及奖励办法</w:t>
      </w:r>
    </w:p>
    <w:p>
      <w:pPr>
        <w:spacing w:line="560" w:lineRule="exact"/>
        <w:ind w:firstLine="600" w:firstLineChars="200"/>
        <w:rPr>
          <w:rFonts w:ascii="楷体_GB2312" w:hAnsi="仿宋" w:eastAsia="楷体_GB2312"/>
          <w:sz w:val="30"/>
          <w:szCs w:val="30"/>
        </w:rPr>
      </w:pPr>
      <w:r>
        <w:rPr>
          <w:rFonts w:hint="eastAsia" w:ascii="楷体_GB2312" w:hAnsi="仿宋" w:eastAsia="楷体_GB2312"/>
          <w:sz w:val="30"/>
          <w:szCs w:val="30"/>
        </w:rPr>
        <w:t>（一）个人奖</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每个学科类别</w:t>
      </w:r>
      <w:r>
        <w:rPr>
          <w:rFonts w:hint="eastAsia" w:ascii="仿宋_GB2312" w:hAnsi="仿宋" w:eastAsia="仿宋_GB2312"/>
          <w:sz w:val="30"/>
          <w:szCs w:val="30"/>
          <w:lang w:eastAsia="zh-CN"/>
        </w:rPr>
        <w:t>将</w:t>
      </w:r>
      <w:r>
        <w:rPr>
          <w:rFonts w:hint="eastAsia" w:ascii="仿宋_GB2312" w:hAnsi="仿宋" w:eastAsia="仿宋_GB2312"/>
          <w:sz w:val="30"/>
          <w:szCs w:val="30"/>
        </w:rPr>
        <w:t>根据选手总得分评出特等奖1名、一等奖3名、二等奖6名、三等奖10名，由市教卫工作党委、市教委、市总工会颁发获奖证书。</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对获得特等奖且符合“上海市五一劳动奖章”申报条件的</w:t>
      </w:r>
      <w:r>
        <w:rPr>
          <w:rFonts w:ascii="仿宋_GB2312" w:hAnsi="仿宋" w:eastAsia="仿宋_GB2312"/>
          <w:sz w:val="30"/>
          <w:szCs w:val="30"/>
        </w:rPr>
        <w:t>7</w:t>
      </w:r>
      <w:r>
        <w:rPr>
          <w:rFonts w:hint="eastAsia" w:ascii="仿宋_GB2312" w:hAnsi="仿宋" w:eastAsia="仿宋_GB2312"/>
          <w:sz w:val="30"/>
          <w:szCs w:val="30"/>
        </w:rPr>
        <w:t>位选手，按程序向市总工会推荐申报“上海市五一劳动奖章”；对获得特等奖、一等奖的选手</w:t>
      </w:r>
      <w:r>
        <w:rPr>
          <w:rFonts w:hint="eastAsia" w:ascii="仿宋_GB2312" w:hAnsi="仿宋" w:eastAsia="仿宋_GB2312"/>
          <w:sz w:val="30"/>
          <w:szCs w:val="30"/>
          <w:lang w:eastAsia="zh-CN"/>
        </w:rPr>
        <w:t>，</w:t>
      </w:r>
      <w:r>
        <w:rPr>
          <w:rFonts w:hint="eastAsia" w:ascii="仿宋_GB2312" w:hAnsi="仿宋" w:eastAsia="仿宋_GB2312"/>
          <w:sz w:val="30"/>
          <w:szCs w:val="30"/>
        </w:rPr>
        <w:t>由市教卫工作党委、市教委颁发“上海市教学能手”证书。</w:t>
      </w:r>
    </w:p>
    <w:p>
      <w:pPr>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上海市教育发展基金会为本届竞赛获奖教师提供等第奖金</w:t>
      </w:r>
      <w:r>
        <w:rPr>
          <w:rFonts w:hint="eastAsia" w:ascii="仿宋_GB2312" w:hAnsi="仿宋" w:eastAsia="仿宋_GB2312"/>
          <w:sz w:val="30"/>
          <w:szCs w:val="30"/>
          <w:lang w:eastAsia="zh-CN"/>
        </w:rPr>
        <w:t>。</w:t>
      </w:r>
    </w:p>
    <w:p>
      <w:pPr>
        <w:spacing w:line="560" w:lineRule="exact"/>
        <w:ind w:firstLine="600" w:firstLineChars="200"/>
        <w:rPr>
          <w:rFonts w:ascii="楷体_GB2312" w:hAnsi="仿宋" w:eastAsia="楷体_GB2312"/>
          <w:sz w:val="30"/>
          <w:szCs w:val="30"/>
        </w:rPr>
      </w:pPr>
      <w:r>
        <w:rPr>
          <w:rFonts w:hint="eastAsia" w:ascii="楷体_GB2312" w:hAnsi="仿宋" w:eastAsia="楷体_GB2312"/>
          <w:sz w:val="30"/>
          <w:szCs w:val="30"/>
        </w:rPr>
        <w:t>（二）集体奖</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对高度重视青年教师队伍建设，关心青年教师教学质量和职业素养提升，认真组织开展教学竞赛，并在本届教学竞赛中选手成绩优秀的高校颁发优秀组织奖。</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七、其他事项</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本通知未尽事宜将以补充通知形式予以明确，本次竞赛活动信息通过上海市教育工会官网（https://www.shsjygh.org.cn）及授权微信公众号“教师博雅”发布。</w:t>
      </w:r>
    </w:p>
    <w:p>
      <w:pPr>
        <w:rPr>
          <w:rFonts w:ascii="仿宋_GB2312" w:hAnsi="仿宋" w:eastAsia="仿宋_GB2312"/>
          <w:sz w:val="30"/>
          <w:szCs w:val="30"/>
        </w:rPr>
      </w:pPr>
    </w:p>
    <w:p>
      <w:pPr>
        <w:ind w:left="1200" w:hanging="1200" w:hangingChars="400"/>
        <w:rPr>
          <w:rFonts w:hint="eastAsia" w:ascii="仿宋_GB2312" w:hAnsi="仿宋" w:eastAsia="仿宋_GB2312"/>
          <w:sz w:val="30"/>
          <w:szCs w:val="30"/>
        </w:rPr>
      </w:pPr>
      <w:r>
        <w:rPr>
          <w:rFonts w:hint="eastAsia" w:ascii="仿宋_GB2312" w:hAnsi="仿宋" w:eastAsia="仿宋_GB2312"/>
          <w:sz w:val="30"/>
          <w:szCs w:val="30"/>
        </w:rPr>
        <w:t>附件：</w:t>
      </w:r>
    </w:p>
    <w:p>
      <w:pPr>
        <w:ind w:left="1196" w:leftChars="284" w:hanging="600" w:hangingChars="200"/>
        <w:rPr>
          <w:rFonts w:hint="eastAsia" w:ascii="仿宋_GB2312" w:hAnsi="仿宋" w:eastAsia="仿宋_GB2312"/>
          <w:sz w:val="30"/>
          <w:szCs w:val="30"/>
        </w:rPr>
      </w:pPr>
      <w:r>
        <w:rPr>
          <w:rFonts w:hint="eastAsia" w:ascii="仿宋_GB2312" w:hAnsi="仿宋" w:eastAsia="仿宋_GB2312"/>
          <w:sz w:val="30"/>
          <w:szCs w:val="30"/>
        </w:rPr>
        <w:t>第六届上海高校青年教师教学竞赛暨第</w:t>
      </w:r>
      <w:r>
        <w:rPr>
          <w:rFonts w:hint="eastAsia" w:ascii="仿宋_GB2312" w:hAnsi="仿宋" w:eastAsia="仿宋_GB2312"/>
          <w:sz w:val="30"/>
          <w:szCs w:val="30"/>
          <w:lang w:eastAsia="zh-CN"/>
        </w:rPr>
        <w:t>七</w:t>
      </w:r>
      <w:r>
        <w:rPr>
          <w:rFonts w:hint="eastAsia" w:ascii="仿宋_GB2312" w:hAnsi="仿宋" w:eastAsia="仿宋_GB2312"/>
          <w:sz w:val="30"/>
          <w:szCs w:val="30"/>
        </w:rPr>
        <w:t>届全国高校青年教师</w:t>
      </w:r>
    </w:p>
    <w:p>
      <w:pPr>
        <w:rPr>
          <w:rFonts w:ascii="仿宋_GB2312" w:hAnsi="仿宋" w:eastAsia="仿宋_GB2312"/>
          <w:sz w:val="30"/>
          <w:szCs w:val="30"/>
        </w:rPr>
      </w:pPr>
      <w:r>
        <w:rPr>
          <w:rFonts w:hint="eastAsia" w:ascii="仿宋_GB2312" w:hAnsi="仿宋" w:eastAsia="仿宋_GB2312"/>
          <w:sz w:val="30"/>
          <w:szCs w:val="30"/>
        </w:rPr>
        <w:t>教学竞赛选拔赛实施方案</w:t>
      </w:r>
    </w:p>
    <w:p>
      <w:pPr>
        <w:ind w:firstLine="600" w:firstLineChars="200"/>
        <w:rPr>
          <w:rFonts w:ascii="仿宋_GB2312" w:hAnsi="仿宋" w:eastAsia="仿宋_GB2312"/>
          <w:sz w:val="30"/>
          <w:szCs w:val="30"/>
        </w:rPr>
      </w:pPr>
      <w:r>
        <w:rPr>
          <w:rFonts w:hint="eastAsia" w:ascii="仿宋_GB2312" w:hAnsi="仿宋" w:eastAsia="仿宋_GB2312"/>
          <w:sz w:val="30"/>
          <w:szCs w:val="30"/>
        </w:rPr>
        <w:t>第六届上海高校青年教师教学竞赛参赛选手推荐表</w:t>
      </w:r>
    </w:p>
    <w:p>
      <w:pPr>
        <w:ind w:firstLine="900" w:firstLineChars="300"/>
        <w:rPr>
          <w:rFonts w:ascii="仿宋_GB2312" w:hAnsi="仿宋" w:eastAsia="仿宋_GB2312"/>
          <w:sz w:val="30"/>
          <w:szCs w:val="30"/>
        </w:rPr>
      </w:pPr>
    </w:p>
    <w:p>
      <w:pPr>
        <w:ind w:firstLine="900" w:firstLineChars="300"/>
        <w:rPr>
          <w:rFonts w:ascii="仿宋_GB2312" w:hAnsi="仿宋" w:eastAsia="仿宋_GB2312"/>
          <w:sz w:val="30"/>
          <w:szCs w:val="30"/>
        </w:rPr>
      </w:pPr>
    </w:p>
    <w:tbl>
      <w:tblPr>
        <w:tblStyle w:val="5"/>
        <w:tblW w:w="0" w:type="auto"/>
        <w:tblInd w:w="4428" w:type="dxa"/>
        <w:tblLayout w:type="fixed"/>
        <w:tblCellMar>
          <w:top w:w="0" w:type="dxa"/>
          <w:left w:w="108" w:type="dxa"/>
          <w:bottom w:w="0" w:type="dxa"/>
          <w:right w:w="108" w:type="dxa"/>
        </w:tblCellMar>
      </w:tblPr>
      <w:tblGrid>
        <w:gridCol w:w="4518"/>
      </w:tblGrid>
      <w:tr>
        <w:tblPrEx>
          <w:tblCellMar>
            <w:top w:w="0" w:type="dxa"/>
            <w:left w:w="108" w:type="dxa"/>
            <w:bottom w:w="0" w:type="dxa"/>
            <w:right w:w="108" w:type="dxa"/>
          </w:tblCellMar>
        </w:tblPrEx>
        <w:tc>
          <w:tcPr>
            <w:tcW w:w="4518" w:type="dxa"/>
          </w:tcPr>
          <w:p>
            <w:pPr>
              <w:tabs>
                <w:tab w:val="left" w:pos="1725"/>
              </w:tabs>
              <w:spacing w:line="600" w:lineRule="exact"/>
              <w:jc w:val="distribute"/>
              <w:rPr>
                <w:rFonts w:ascii="仿宋_GB2312" w:hAnsi="宋体" w:eastAsia="仿宋_GB2312" w:cs="仿宋_GB2312"/>
                <w:sz w:val="30"/>
                <w:szCs w:val="30"/>
              </w:rPr>
            </w:pPr>
          </w:p>
        </w:tc>
      </w:tr>
      <w:tr>
        <w:tblPrEx>
          <w:tblCellMar>
            <w:top w:w="0" w:type="dxa"/>
            <w:left w:w="108" w:type="dxa"/>
            <w:bottom w:w="0" w:type="dxa"/>
            <w:right w:w="108" w:type="dxa"/>
          </w:tblCellMar>
        </w:tblPrEx>
        <w:tc>
          <w:tcPr>
            <w:tcW w:w="4518" w:type="dxa"/>
          </w:tcPr>
          <w:p>
            <w:pPr>
              <w:tabs>
                <w:tab w:val="left" w:pos="1725"/>
              </w:tabs>
              <w:spacing w:line="600" w:lineRule="exact"/>
              <w:jc w:val="distribute"/>
              <w:rPr>
                <w:rFonts w:ascii="仿宋_GB2312" w:hAnsi="宋体" w:eastAsia="仿宋_GB2312" w:cs="仿宋_GB2312"/>
                <w:sz w:val="30"/>
                <w:szCs w:val="30"/>
              </w:rPr>
            </w:pPr>
          </w:p>
        </w:tc>
      </w:tr>
      <w:tr>
        <w:tblPrEx>
          <w:tblCellMar>
            <w:top w:w="0" w:type="dxa"/>
            <w:left w:w="108" w:type="dxa"/>
            <w:bottom w:w="0" w:type="dxa"/>
            <w:right w:w="108" w:type="dxa"/>
          </w:tblCellMar>
        </w:tblPrEx>
        <w:tc>
          <w:tcPr>
            <w:tcW w:w="4518" w:type="dxa"/>
          </w:tcPr>
          <w:p>
            <w:pPr>
              <w:tabs>
                <w:tab w:val="left" w:pos="1725"/>
              </w:tabs>
              <w:spacing w:line="600" w:lineRule="exact"/>
              <w:jc w:val="distribute"/>
              <w:rPr>
                <w:rFonts w:ascii="仿宋_GB2312" w:hAnsi="宋体" w:eastAsia="仿宋_GB2312" w:cs="仿宋_GB2312"/>
                <w:sz w:val="30"/>
                <w:szCs w:val="30"/>
              </w:rPr>
            </w:pPr>
          </w:p>
        </w:tc>
      </w:tr>
      <w:tr>
        <w:tblPrEx>
          <w:tblCellMar>
            <w:top w:w="0" w:type="dxa"/>
            <w:left w:w="108" w:type="dxa"/>
            <w:bottom w:w="0" w:type="dxa"/>
            <w:right w:w="108" w:type="dxa"/>
          </w:tblCellMar>
        </w:tblPrEx>
        <w:tc>
          <w:tcPr>
            <w:tcW w:w="4518" w:type="dxa"/>
          </w:tcPr>
          <w:p>
            <w:pPr>
              <w:spacing w:line="600" w:lineRule="exact"/>
              <w:rPr>
                <w:rFonts w:ascii="仿宋_GB2312" w:hAnsi="宋体" w:eastAsia="仿宋_GB2312" w:cs="仿宋_GB2312"/>
                <w:sz w:val="30"/>
                <w:szCs w:val="30"/>
              </w:rPr>
            </w:pPr>
          </w:p>
        </w:tc>
      </w:tr>
    </w:tbl>
    <w:p>
      <w:pPr>
        <w:spacing w:line="400" w:lineRule="exact"/>
        <w:ind w:right="301"/>
        <w:rPr>
          <w:rFonts w:ascii="黑体" w:eastAsia="黑体"/>
          <w:sz w:val="30"/>
          <w:szCs w:val="30"/>
        </w:rPr>
      </w:pPr>
    </w:p>
    <w:p>
      <w:pPr>
        <w:widowControl/>
        <w:jc w:val="left"/>
        <w:rPr>
          <w:rFonts w:ascii="黑体" w:hAnsi="黑体" w:eastAsia="黑体"/>
          <w:sz w:val="30"/>
          <w:szCs w:val="30"/>
        </w:rPr>
      </w:pPr>
    </w:p>
    <w:p>
      <w:pPr>
        <w:widowControl/>
        <w:snapToGrid w:val="0"/>
        <w:spacing w:line="520" w:lineRule="exact"/>
        <w:jc w:val="left"/>
        <w:rPr>
          <w:rFonts w:hint="eastAsia" w:ascii="黑体" w:hAnsi="黑体" w:eastAsia="黑体"/>
          <w:sz w:val="30"/>
          <w:szCs w:val="30"/>
        </w:rPr>
      </w:pPr>
    </w:p>
    <w:p>
      <w:pPr>
        <w:widowControl/>
        <w:snapToGrid w:val="0"/>
        <w:spacing w:line="520" w:lineRule="exact"/>
        <w:jc w:val="left"/>
        <w:rPr>
          <w:rFonts w:hint="eastAsia" w:ascii="黑体" w:hAnsi="黑体" w:eastAsia="黑体"/>
          <w:sz w:val="30"/>
          <w:szCs w:val="30"/>
        </w:rPr>
      </w:pPr>
    </w:p>
    <w:p>
      <w:pPr>
        <w:widowControl/>
        <w:snapToGrid w:val="0"/>
        <w:spacing w:line="520" w:lineRule="exact"/>
        <w:jc w:val="left"/>
        <w:rPr>
          <w:rFonts w:hint="eastAsia" w:ascii="黑体" w:hAnsi="黑体" w:eastAsia="黑体"/>
          <w:sz w:val="30"/>
          <w:szCs w:val="30"/>
        </w:rPr>
      </w:pPr>
    </w:p>
    <w:p>
      <w:pPr>
        <w:widowControl/>
        <w:snapToGrid w:val="0"/>
        <w:spacing w:line="520" w:lineRule="exact"/>
        <w:jc w:val="left"/>
        <w:rPr>
          <w:rFonts w:ascii="黑体" w:hAnsi="黑体" w:eastAsia="黑体"/>
          <w:sz w:val="30"/>
          <w:szCs w:val="30"/>
        </w:rPr>
      </w:pPr>
      <w:r>
        <w:rPr>
          <w:rFonts w:hint="eastAsia" w:ascii="黑体" w:hAnsi="黑体" w:eastAsia="黑体"/>
          <w:sz w:val="30"/>
          <w:szCs w:val="30"/>
        </w:rPr>
        <w:t>附件</w:t>
      </w:r>
    </w:p>
    <w:p>
      <w:pPr>
        <w:spacing w:line="300" w:lineRule="exact"/>
        <w:jc w:val="left"/>
        <w:rPr>
          <w:rFonts w:ascii="黑体" w:hAnsi="黑体" w:eastAsia="黑体"/>
          <w:sz w:val="30"/>
          <w:szCs w:val="30"/>
        </w:rPr>
      </w:pPr>
    </w:p>
    <w:p>
      <w:pPr>
        <w:adjustRightInd w:val="0"/>
        <w:snapToGrid w:val="0"/>
        <w:spacing w:line="560" w:lineRule="exact"/>
        <w:jc w:val="center"/>
        <w:rPr>
          <w:rFonts w:ascii="方正小标宋简体" w:hAnsi="华文中宋" w:eastAsia="华文中宋"/>
          <w:spacing w:val="6"/>
          <w:sz w:val="38"/>
          <w:szCs w:val="38"/>
        </w:rPr>
      </w:pPr>
      <w:r>
        <w:rPr>
          <w:rFonts w:hint="eastAsia" w:ascii="方正小标宋简体" w:hAnsi="华文中宋" w:eastAsia="华文中宋"/>
          <w:sz w:val="38"/>
          <w:szCs w:val="38"/>
        </w:rPr>
        <w:t>第六届上海高校青年教师教学竞赛</w:t>
      </w:r>
      <w:r>
        <w:rPr>
          <w:rFonts w:hint="eastAsia" w:ascii="方正小标宋简体" w:hAnsi="华文中宋" w:eastAsia="华文中宋"/>
          <w:spacing w:val="6"/>
          <w:sz w:val="38"/>
          <w:szCs w:val="38"/>
        </w:rPr>
        <w:t>暨</w:t>
      </w:r>
    </w:p>
    <w:p>
      <w:pPr>
        <w:adjustRightInd w:val="0"/>
        <w:snapToGrid w:val="0"/>
        <w:spacing w:line="560" w:lineRule="exact"/>
        <w:jc w:val="center"/>
        <w:rPr>
          <w:rFonts w:ascii="方正小标宋简体" w:hAnsi="华文中宋" w:eastAsia="华文中宋"/>
          <w:spacing w:val="6"/>
          <w:sz w:val="38"/>
          <w:szCs w:val="38"/>
        </w:rPr>
      </w:pPr>
      <w:r>
        <w:rPr>
          <w:rFonts w:hint="eastAsia" w:ascii="方正小标宋简体" w:hAnsi="华文中宋" w:eastAsia="华文中宋"/>
          <w:spacing w:val="6"/>
          <w:sz w:val="38"/>
          <w:szCs w:val="38"/>
        </w:rPr>
        <w:t>第七届全国高校青年教师教学竞赛选拔赛</w:t>
      </w:r>
    </w:p>
    <w:p>
      <w:pPr>
        <w:adjustRightInd w:val="0"/>
        <w:snapToGrid w:val="0"/>
        <w:spacing w:line="560" w:lineRule="exact"/>
        <w:jc w:val="center"/>
        <w:rPr>
          <w:rFonts w:ascii="方正小标宋简体" w:hAnsi="华文中宋" w:eastAsia="方正小标宋简体"/>
          <w:sz w:val="38"/>
          <w:szCs w:val="38"/>
        </w:rPr>
      </w:pPr>
      <w:r>
        <w:rPr>
          <w:rFonts w:hint="eastAsia" w:ascii="方正小标宋简体" w:hAnsi="华文中宋" w:eastAsia="华文中宋"/>
          <w:sz w:val="38"/>
          <w:szCs w:val="38"/>
        </w:rPr>
        <w:t>实 施 方 案</w:t>
      </w:r>
    </w:p>
    <w:p>
      <w:pPr>
        <w:adjustRightInd w:val="0"/>
        <w:snapToGrid w:val="0"/>
        <w:spacing w:line="300" w:lineRule="exact"/>
        <w:ind w:firstLine="640" w:firstLineChars="200"/>
        <w:rPr>
          <w:rFonts w:ascii="文鼎大标宋简" w:hAnsi="华文仿宋" w:eastAsia="文鼎大标宋简"/>
          <w:sz w:val="32"/>
          <w:szCs w:val="32"/>
        </w:rPr>
      </w:pPr>
    </w:p>
    <w:p>
      <w:pPr>
        <w:adjustRightInd w:val="0"/>
        <w:spacing w:line="550" w:lineRule="exact"/>
        <w:ind w:firstLine="600" w:firstLineChars="200"/>
        <w:rPr>
          <w:rFonts w:ascii="黑体" w:hAnsi="黑体" w:eastAsia="黑体"/>
          <w:sz w:val="30"/>
          <w:szCs w:val="30"/>
        </w:rPr>
      </w:pPr>
      <w:r>
        <w:rPr>
          <w:rFonts w:hint="eastAsia" w:ascii="黑体" w:hAnsi="黑体" w:eastAsia="黑体"/>
          <w:sz w:val="30"/>
          <w:szCs w:val="30"/>
        </w:rPr>
        <w:t>一、竞赛学科</w:t>
      </w:r>
    </w:p>
    <w:p>
      <w:pPr>
        <w:adjustRightInd w:val="0"/>
        <w:spacing w:line="55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竞赛学科分设七个组别：</w:t>
      </w:r>
    </w:p>
    <w:p>
      <w:pPr>
        <w:adjustRightInd w:val="0"/>
        <w:spacing w:line="55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第一组：人文科学（含 01 哲学、05 文学、06 历史学）；</w:t>
      </w:r>
    </w:p>
    <w:p>
      <w:pPr>
        <w:adjustRightInd w:val="0"/>
        <w:spacing w:line="55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第二组：社会科学（含 02 经济学、0301 法学、0302政治学、0303社会学、0304民族学、04 教育学、12 管理学、13 艺术学）；</w:t>
      </w:r>
    </w:p>
    <w:p>
      <w:pPr>
        <w:adjustRightInd w:val="0"/>
        <w:spacing w:line="55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第</w:t>
      </w:r>
      <w:r>
        <w:rPr>
          <w:rFonts w:hint="eastAsia" w:ascii="仿宋_GB2312" w:hAnsi="华文仿宋" w:eastAsia="仿宋_GB2312"/>
          <w:sz w:val="30"/>
          <w:szCs w:val="30"/>
          <w:lang w:eastAsia="zh-CN"/>
        </w:rPr>
        <w:t>三</w:t>
      </w:r>
      <w:r>
        <w:rPr>
          <w:rFonts w:hint="eastAsia" w:ascii="仿宋_GB2312" w:hAnsi="华文仿宋" w:eastAsia="仿宋_GB2312"/>
          <w:sz w:val="30"/>
          <w:szCs w:val="30"/>
        </w:rPr>
        <w:t>组：自然科学基础学科（含07理学）；</w:t>
      </w:r>
    </w:p>
    <w:p>
      <w:pPr>
        <w:adjustRightInd w:val="0"/>
        <w:spacing w:line="55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第</w:t>
      </w:r>
      <w:r>
        <w:rPr>
          <w:rFonts w:hint="eastAsia" w:ascii="仿宋_GB2312" w:hAnsi="华文仿宋" w:eastAsia="仿宋_GB2312"/>
          <w:sz w:val="30"/>
          <w:szCs w:val="30"/>
          <w:lang w:eastAsia="zh-CN"/>
        </w:rPr>
        <w:t>四</w:t>
      </w:r>
      <w:r>
        <w:rPr>
          <w:rFonts w:hint="eastAsia" w:ascii="仿宋_GB2312" w:hAnsi="华文仿宋" w:eastAsia="仿宋_GB2312"/>
          <w:sz w:val="30"/>
          <w:szCs w:val="30"/>
        </w:rPr>
        <w:t>组：自然科学应用学科（含08 工学、09 农学）；</w:t>
      </w:r>
    </w:p>
    <w:p>
      <w:pPr>
        <w:adjustRightInd w:val="0"/>
        <w:spacing w:line="550" w:lineRule="exact"/>
        <w:ind w:firstLine="600" w:firstLineChars="200"/>
        <w:rPr>
          <w:rFonts w:hint="eastAsia" w:ascii="仿宋_GB2312" w:hAnsi="华文仿宋" w:eastAsia="仿宋_GB2312"/>
          <w:sz w:val="30"/>
          <w:szCs w:val="30"/>
        </w:rPr>
      </w:pPr>
      <w:r>
        <w:rPr>
          <w:rFonts w:hint="eastAsia" w:ascii="仿宋_GB2312" w:hAnsi="华文仿宋" w:eastAsia="仿宋_GB2312"/>
          <w:sz w:val="30"/>
          <w:szCs w:val="30"/>
        </w:rPr>
        <w:t>第</w:t>
      </w:r>
      <w:r>
        <w:rPr>
          <w:rFonts w:hint="eastAsia" w:ascii="仿宋_GB2312" w:hAnsi="华文仿宋" w:eastAsia="仿宋_GB2312"/>
          <w:sz w:val="30"/>
          <w:szCs w:val="30"/>
          <w:lang w:eastAsia="zh-CN"/>
        </w:rPr>
        <w:t>五</w:t>
      </w:r>
      <w:r>
        <w:rPr>
          <w:rFonts w:hint="eastAsia" w:ascii="仿宋_GB2312" w:hAnsi="华文仿宋" w:eastAsia="仿宋_GB2312"/>
          <w:sz w:val="30"/>
          <w:szCs w:val="30"/>
        </w:rPr>
        <w:t>组：医学学科（</w:t>
      </w:r>
      <w:r>
        <w:rPr>
          <w:rFonts w:hint="eastAsia" w:ascii="仿宋_GB2312" w:hAnsi="仿宋" w:eastAsia="仿宋_GB2312"/>
          <w:sz w:val="30"/>
          <w:szCs w:val="30"/>
        </w:rPr>
        <w:t>含基础医学、临床医学、口腔医学、公共卫生与预防医学、中医学、中西医结合、药学、中药学、特种医学、医学技术等</w:t>
      </w:r>
      <w:r>
        <w:rPr>
          <w:rFonts w:hint="eastAsia" w:ascii="仿宋_GB2312" w:hAnsi="华文仿宋" w:eastAsia="仿宋_GB2312"/>
          <w:sz w:val="30"/>
          <w:szCs w:val="30"/>
        </w:rPr>
        <w:t>）；</w:t>
      </w:r>
    </w:p>
    <w:p>
      <w:pPr>
        <w:adjustRightInd w:val="0"/>
        <w:spacing w:line="550" w:lineRule="exact"/>
        <w:ind w:firstLine="600" w:firstLineChars="200"/>
        <w:rPr>
          <w:rFonts w:hint="eastAsia" w:ascii="仿宋_GB2312" w:hAnsi="华文仿宋" w:eastAsia="仿宋_GB2312"/>
          <w:sz w:val="30"/>
          <w:szCs w:val="30"/>
        </w:rPr>
      </w:pPr>
      <w:r>
        <w:rPr>
          <w:rFonts w:hint="eastAsia" w:ascii="仿宋_GB2312" w:hAnsi="华文仿宋" w:eastAsia="仿宋_GB2312"/>
          <w:sz w:val="30"/>
          <w:szCs w:val="30"/>
        </w:rPr>
        <w:t>第</w:t>
      </w:r>
      <w:r>
        <w:rPr>
          <w:rFonts w:hint="eastAsia" w:ascii="仿宋_GB2312" w:hAnsi="华文仿宋" w:eastAsia="仿宋_GB2312"/>
          <w:sz w:val="30"/>
          <w:szCs w:val="30"/>
          <w:lang w:eastAsia="zh-CN"/>
        </w:rPr>
        <w:t>六</w:t>
      </w:r>
      <w:r>
        <w:rPr>
          <w:rFonts w:hint="eastAsia" w:ascii="仿宋_GB2312" w:hAnsi="华文仿宋" w:eastAsia="仿宋_GB2312"/>
          <w:sz w:val="30"/>
          <w:szCs w:val="30"/>
        </w:rPr>
        <w:t>组：思想政治理论课专项（含“习近平新时代中国特色社会主义思想概论”“马克思主义基本原理”“毛泽东思想和中国特色社会主义理论体系概论”“中国近现代史纲要”“思想道德与法治”“形势与政策”“新时代中国特色社会主义理论与实践研究”“中国马克思主义与当代”等）；</w:t>
      </w:r>
    </w:p>
    <w:p>
      <w:pPr>
        <w:adjustRightInd w:val="0"/>
        <w:spacing w:line="55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第七组：高职高专综合学科。</w:t>
      </w:r>
    </w:p>
    <w:p>
      <w:pPr>
        <w:adjustRightInd w:val="0"/>
        <w:spacing w:line="550" w:lineRule="exact"/>
        <w:ind w:firstLine="600" w:firstLineChars="200"/>
        <w:rPr>
          <w:rFonts w:ascii="黑体" w:hAnsi="黑体" w:eastAsia="黑体"/>
          <w:sz w:val="30"/>
          <w:szCs w:val="30"/>
        </w:rPr>
      </w:pPr>
      <w:r>
        <w:rPr>
          <w:rFonts w:hint="eastAsia" w:ascii="黑体" w:hAnsi="黑体" w:eastAsia="黑体"/>
          <w:sz w:val="30"/>
          <w:szCs w:val="30"/>
        </w:rPr>
        <w:t>二、名额分配</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rPr>
        <w:t>每个本科院校最多可推荐6名（独立设置的医学类本科院校总参赛名额8名），其中：高校人文科学、社会科学、思想政治理论课专项可各推荐1名；自然科学基础学科及自然科学应用学科共可推荐2-3名；医学院校医学类专业的参赛名额</w:t>
      </w:r>
      <w:r>
        <w:rPr>
          <w:rFonts w:hint="eastAsia" w:ascii="仿宋_GB2312" w:hAnsi="仿宋" w:eastAsia="仿宋_GB2312"/>
          <w:sz w:val="30"/>
          <w:szCs w:val="30"/>
          <w:lang w:eastAsia="zh-CN"/>
        </w:rPr>
        <w:t>，</w:t>
      </w:r>
      <w:r>
        <w:rPr>
          <w:rFonts w:hint="eastAsia" w:ascii="仿宋_GB2312" w:hAnsi="仿宋" w:eastAsia="仿宋_GB2312"/>
          <w:sz w:val="30"/>
          <w:szCs w:val="30"/>
        </w:rPr>
        <w:t>复旦大学医学院、上海交通大学医学院、上海中医药大学、上海健康医学院、中国人民解放军海军军医大学可</w:t>
      </w:r>
      <w:r>
        <w:rPr>
          <w:rFonts w:hint="eastAsia" w:ascii="仿宋_GB2312" w:hAnsi="仿宋" w:eastAsia="仿宋_GB2312"/>
          <w:sz w:val="30"/>
          <w:szCs w:val="30"/>
          <w:lang w:eastAsia="zh-CN"/>
        </w:rPr>
        <w:t>分别</w:t>
      </w:r>
      <w:r>
        <w:rPr>
          <w:rFonts w:hint="eastAsia" w:ascii="仿宋_GB2312" w:hAnsi="仿宋" w:eastAsia="仿宋_GB2312"/>
          <w:sz w:val="30"/>
          <w:szCs w:val="30"/>
        </w:rPr>
        <w:t>推荐4-5名，同济大学医学院、华东师范大学医学与健康研究院、上海大学医学院可</w:t>
      </w:r>
      <w:r>
        <w:rPr>
          <w:rFonts w:hint="eastAsia" w:ascii="仿宋_GB2312" w:hAnsi="仿宋" w:eastAsia="仿宋_GB2312"/>
          <w:sz w:val="30"/>
          <w:szCs w:val="30"/>
          <w:lang w:eastAsia="zh-CN"/>
        </w:rPr>
        <w:t>分别</w:t>
      </w:r>
      <w:r>
        <w:rPr>
          <w:rFonts w:hint="eastAsia" w:ascii="仿宋_GB2312" w:hAnsi="仿宋" w:eastAsia="仿宋_GB2312"/>
          <w:sz w:val="30"/>
          <w:szCs w:val="30"/>
        </w:rPr>
        <w:t>推荐1</w:t>
      </w:r>
      <w:r>
        <w:rPr>
          <w:rFonts w:ascii="仿宋_GB2312" w:hAnsi="仿宋" w:eastAsia="仿宋_GB2312"/>
          <w:sz w:val="30"/>
          <w:szCs w:val="30"/>
        </w:rPr>
        <w:t>-</w:t>
      </w:r>
      <w:r>
        <w:rPr>
          <w:rFonts w:hint="eastAsia" w:ascii="仿宋_GB2312" w:hAnsi="仿宋" w:eastAsia="仿宋_GB2312"/>
          <w:sz w:val="30"/>
          <w:szCs w:val="30"/>
        </w:rPr>
        <w:t>2名。协办单位增加一个推荐名额。</w:t>
      </w:r>
    </w:p>
    <w:p>
      <w:pPr>
        <w:spacing w:line="556" w:lineRule="exact"/>
        <w:ind w:firstLine="600" w:firstLineChars="200"/>
        <w:rPr>
          <w:rFonts w:ascii="仿宋_GB2312" w:hAnsi="仿宋" w:eastAsia="仿宋_GB2312"/>
          <w:sz w:val="30"/>
          <w:szCs w:val="30"/>
        </w:rPr>
      </w:pPr>
      <w:r>
        <w:rPr>
          <w:rFonts w:hint="eastAsia" w:ascii="仿宋_GB2312" w:hAnsi="仿宋" w:eastAsia="仿宋_GB2312"/>
          <w:sz w:val="30"/>
          <w:szCs w:val="30"/>
        </w:rPr>
        <w:t>高职高专类学校可选择高职高专综合学科推荐1-2名、其他学科类别各推荐1-2名，共计最多3名参加教学竞赛。本科院校中，设专科专业的（以当年招生简章为准），可推荐1名参加专科组竞赛（总参加人数不能超过6名）。</w:t>
      </w:r>
    </w:p>
    <w:p>
      <w:pPr>
        <w:spacing w:line="556" w:lineRule="exact"/>
        <w:ind w:firstLine="600" w:firstLineChars="200"/>
        <w:rPr>
          <w:rFonts w:ascii="黑体" w:hAnsi="黑体" w:eastAsia="黑体"/>
          <w:sz w:val="30"/>
          <w:szCs w:val="30"/>
        </w:rPr>
      </w:pPr>
      <w:r>
        <w:rPr>
          <w:rFonts w:hint="eastAsia" w:ascii="黑体" w:hAnsi="黑体" w:eastAsia="黑体"/>
          <w:sz w:val="30"/>
          <w:szCs w:val="30"/>
        </w:rPr>
        <w:t>三、计分办法</w:t>
      </w:r>
    </w:p>
    <w:p>
      <w:pPr>
        <w:adjustRightInd w:val="0"/>
        <w:spacing w:line="550" w:lineRule="exact"/>
        <w:ind w:firstLine="600" w:firstLineChars="200"/>
        <w:rPr>
          <w:rFonts w:ascii="仿宋_GB2312" w:hAnsi="华文仿宋" w:eastAsia="仿宋_GB2312"/>
          <w:sz w:val="30"/>
          <w:szCs w:val="30"/>
        </w:rPr>
      </w:pPr>
      <w:r>
        <w:rPr>
          <w:rFonts w:hint="eastAsia" w:ascii="仿宋_GB2312" w:hAnsi="仿宋" w:eastAsia="仿宋_GB2312"/>
          <w:sz w:val="30"/>
          <w:szCs w:val="30"/>
        </w:rPr>
        <w:t>第六届上海高校青年教师教学竞赛以“上好一门课”为竞赛理念，</w:t>
      </w:r>
      <w:r>
        <w:rPr>
          <w:rFonts w:hint="eastAsia" w:ascii="仿宋_GB2312" w:hAnsi="华文仿宋" w:eastAsia="仿宋_GB2312"/>
          <w:sz w:val="30"/>
          <w:szCs w:val="30"/>
        </w:rPr>
        <w:t>由教学设计、课堂教学和教学反思三部分组成，分</w:t>
      </w:r>
      <w:r>
        <w:rPr>
          <w:rFonts w:hint="eastAsia" w:ascii="仿宋_GB2312" w:hAnsi="华文仿宋" w:eastAsia="仿宋_GB2312"/>
          <w:sz w:val="30"/>
          <w:szCs w:val="30"/>
          <w:lang w:eastAsia="zh-CN"/>
        </w:rPr>
        <w:t>值</w:t>
      </w:r>
      <w:r>
        <w:rPr>
          <w:rFonts w:hint="eastAsia" w:ascii="仿宋_GB2312" w:hAnsi="华文仿宋" w:eastAsia="仿宋_GB2312"/>
          <w:sz w:val="30"/>
          <w:szCs w:val="30"/>
        </w:rPr>
        <w:t>分别为20分、75分、5分。成绩评定采用百分制，每部分得分为去掉一个最高分和去掉一个最低分的平均分。</w:t>
      </w:r>
    </w:p>
    <w:p>
      <w:pPr>
        <w:spacing w:line="560" w:lineRule="exact"/>
        <w:ind w:firstLine="600" w:firstLineChars="200"/>
        <w:rPr>
          <w:rFonts w:ascii="楷体_GB2312" w:hAnsi="仿宋" w:eastAsia="楷体_GB2312"/>
          <w:sz w:val="30"/>
          <w:szCs w:val="30"/>
        </w:rPr>
      </w:pPr>
      <w:r>
        <w:rPr>
          <w:rFonts w:hint="eastAsia" w:ascii="仿宋_GB2312" w:hAnsi="仿宋" w:eastAsia="仿宋_GB2312"/>
          <w:sz w:val="30"/>
          <w:szCs w:val="30"/>
        </w:rPr>
        <w:t>人文科学、社会科学、思想政治理论课专项、自然科学基础学科、自然科学应用学科和医学学科组的前三名以</w:t>
      </w:r>
      <w:r>
        <w:rPr>
          <w:rFonts w:hint="eastAsia" w:ascii="仿宋_GB2312" w:hAnsi="仿宋" w:eastAsia="仿宋_GB2312"/>
          <w:bCs/>
          <w:sz w:val="30"/>
          <w:szCs w:val="30"/>
        </w:rPr>
        <w:t>竞赛</w:t>
      </w:r>
      <w:r>
        <w:rPr>
          <w:rFonts w:hint="eastAsia" w:ascii="仿宋_GB2312" w:hAnsi="仿宋" w:eastAsia="仿宋_GB2312"/>
          <w:sz w:val="30"/>
          <w:szCs w:val="30"/>
        </w:rPr>
        <w:t>成绩占40%，选拔赛总成绩占60%的方式计总分，第四名以后的选手成绩以竞赛成绩的综合分数计分。</w:t>
      </w:r>
    </w:p>
    <w:p>
      <w:pPr>
        <w:spacing w:line="560" w:lineRule="exact"/>
        <w:ind w:firstLine="600" w:firstLineChars="200"/>
        <w:rPr>
          <w:rFonts w:ascii="楷体_GB2312" w:hAnsi="仿宋" w:eastAsia="楷体_GB2312"/>
          <w:sz w:val="30"/>
          <w:szCs w:val="30"/>
        </w:rPr>
      </w:pPr>
      <w:r>
        <w:rPr>
          <w:rFonts w:hint="eastAsia" w:ascii="仿宋_GB2312" w:hAnsi="仿宋" w:eastAsia="仿宋_GB2312"/>
          <w:sz w:val="30"/>
          <w:szCs w:val="30"/>
        </w:rPr>
        <w:t>高职高专综合学科组以竞赛成绩的综合分数计分。</w:t>
      </w:r>
    </w:p>
    <w:p>
      <w:pPr>
        <w:adjustRightInd w:val="0"/>
        <w:spacing w:line="560" w:lineRule="exact"/>
        <w:ind w:firstLine="600" w:firstLineChars="200"/>
        <w:rPr>
          <w:rFonts w:ascii="黑体" w:hAnsi="黑体" w:eastAsia="黑体"/>
          <w:sz w:val="30"/>
          <w:szCs w:val="30"/>
        </w:rPr>
      </w:pPr>
      <w:r>
        <w:rPr>
          <w:rFonts w:hint="eastAsia" w:ascii="黑体" w:hAnsi="黑体" w:eastAsia="黑体"/>
          <w:sz w:val="30"/>
          <w:szCs w:val="30"/>
        </w:rPr>
        <w:t>四、竞赛内容及流程</w:t>
      </w:r>
    </w:p>
    <w:p>
      <w:pPr>
        <w:adjustRightInd w:val="0"/>
        <w:spacing w:line="560" w:lineRule="exact"/>
        <w:ind w:firstLine="600" w:firstLineChars="200"/>
        <w:rPr>
          <w:rFonts w:ascii="楷体_GB2312" w:hAnsi="楷体" w:eastAsia="楷体_GB2312"/>
          <w:sz w:val="30"/>
          <w:szCs w:val="30"/>
        </w:rPr>
      </w:pPr>
      <w:r>
        <w:rPr>
          <w:rFonts w:hint="eastAsia" w:ascii="楷体_GB2312" w:hAnsi="楷体" w:eastAsia="楷体_GB2312"/>
          <w:sz w:val="30"/>
          <w:szCs w:val="30"/>
        </w:rPr>
        <w:t>（一）教学设计</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参赛教师需提交以下材料：</w:t>
      </w:r>
    </w:p>
    <w:p>
      <w:pPr>
        <w:adjustRightInd w:val="0"/>
        <w:spacing w:line="560" w:lineRule="exact"/>
        <w:ind w:firstLine="600" w:firstLineChars="200"/>
        <w:rPr>
          <w:rFonts w:hint="eastAsia" w:ascii="仿宋_GB2312" w:hAnsi="华文仿宋" w:eastAsia="仿宋_GB2312"/>
          <w:sz w:val="30"/>
          <w:szCs w:val="30"/>
          <w:lang w:eastAsia="zh-CN"/>
        </w:rPr>
      </w:pPr>
      <w:r>
        <w:rPr>
          <w:rFonts w:hint="eastAsia" w:ascii="仿宋_GB2312" w:hAnsi="华文仿宋" w:eastAsia="仿宋_GB2312"/>
          <w:sz w:val="30"/>
          <w:szCs w:val="30"/>
        </w:rPr>
        <w:t>1.参赛课程的教学大纲，主要包含课程名称、基本信息（课程性质、教学时数、学分、学生对象）、课程简介、课程目标、课程内容与教学安排、课程评价、建议阅读文献等要素</w:t>
      </w:r>
      <w:r>
        <w:rPr>
          <w:rFonts w:hint="eastAsia" w:ascii="仿宋_GB2312" w:hAnsi="华文仿宋" w:eastAsia="仿宋_GB2312"/>
          <w:sz w:val="30"/>
          <w:szCs w:val="30"/>
          <w:lang w:eastAsia="zh-CN"/>
        </w:rPr>
        <w:t>。</w:t>
      </w:r>
    </w:p>
    <w:p>
      <w:pPr>
        <w:adjustRightInd w:val="0"/>
        <w:spacing w:line="560" w:lineRule="exact"/>
        <w:ind w:firstLine="600" w:firstLineChars="200"/>
        <w:rPr>
          <w:rFonts w:hint="eastAsia" w:ascii="仿宋_GB2312" w:hAnsi="华文仿宋" w:eastAsia="仿宋_GB2312"/>
          <w:sz w:val="30"/>
          <w:szCs w:val="30"/>
          <w:lang w:eastAsia="zh-CN"/>
        </w:rPr>
      </w:pPr>
      <w:r>
        <w:rPr>
          <w:rFonts w:hint="eastAsia" w:ascii="仿宋_GB2312" w:hAnsi="华文仿宋" w:eastAsia="仿宋_GB2312"/>
          <w:sz w:val="30"/>
          <w:szCs w:val="30"/>
        </w:rPr>
        <w:t>2.参赛课程16个学时的教学设计方案，主要包括课程名称、学情分析、教学目标、教学思想、课程资源、教学内容、教学重点与难点、教学方法与工具、教学安排、教学评价、预习任务与课后作业等，选取的</w:t>
      </w:r>
      <w:r>
        <w:rPr>
          <w:rFonts w:ascii="仿宋_GB2312" w:hAnsi="华文仿宋" w:eastAsia="仿宋_GB2312"/>
          <w:sz w:val="30"/>
          <w:szCs w:val="30"/>
        </w:rPr>
        <w:t>16个</w:t>
      </w:r>
      <w:r>
        <w:rPr>
          <w:rFonts w:hint="eastAsia" w:ascii="仿宋_GB2312" w:hAnsi="华文仿宋" w:eastAsia="仿宋_GB2312"/>
          <w:sz w:val="30"/>
          <w:szCs w:val="30"/>
        </w:rPr>
        <w:t>教学节段必须涵盖该课程2/3以上的章节</w:t>
      </w:r>
      <w:r>
        <w:rPr>
          <w:rFonts w:hint="eastAsia" w:ascii="仿宋_GB2312" w:hAnsi="华文仿宋" w:eastAsia="仿宋_GB2312"/>
          <w:sz w:val="30"/>
          <w:szCs w:val="30"/>
          <w:lang w:eastAsia="zh-CN"/>
        </w:rPr>
        <w:t>。</w:t>
      </w:r>
    </w:p>
    <w:p>
      <w:pPr>
        <w:adjustRightInd w:val="0"/>
        <w:spacing w:line="560" w:lineRule="exact"/>
        <w:ind w:firstLine="600" w:firstLineChars="200"/>
        <w:rPr>
          <w:rFonts w:hint="eastAsia" w:ascii="仿宋_GB2312" w:hAnsi="华文仿宋" w:eastAsia="仿宋_GB2312"/>
          <w:sz w:val="30"/>
          <w:szCs w:val="30"/>
          <w:lang w:eastAsia="zh-CN"/>
        </w:rPr>
      </w:pPr>
      <w:r>
        <w:rPr>
          <w:rFonts w:hint="eastAsia" w:ascii="仿宋_GB2312" w:hAnsi="华文仿宋" w:eastAsia="仿宋_GB2312"/>
          <w:sz w:val="30"/>
          <w:szCs w:val="30"/>
        </w:rPr>
        <w:t>3.参赛课程</w:t>
      </w:r>
      <w:r>
        <w:rPr>
          <w:rFonts w:ascii="仿宋_GB2312" w:hAnsi="华文仿宋" w:eastAsia="仿宋_GB2312"/>
          <w:sz w:val="30"/>
          <w:szCs w:val="30"/>
        </w:rPr>
        <w:t>16个</w:t>
      </w:r>
      <w:r>
        <w:rPr>
          <w:rFonts w:hint="eastAsia" w:ascii="仿宋_GB2312" w:hAnsi="华文仿宋" w:eastAsia="仿宋_GB2312"/>
          <w:sz w:val="30"/>
          <w:szCs w:val="30"/>
        </w:rPr>
        <w:t>学时相对应的16个课堂教学节段的目录（范例见附件2-1）</w:t>
      </w:r>
      <w:r>
        <w:rPr>
          <w:rFonts w:hint="eastAsia" w:ascii="仿宋_GB2312" w:hAnsi="华文仿宋" w:eastAsia="仿宋_GB2312"/>
          <w:sz w:val="30"/>
          <w:szCs w:val="30"/>
          <w:lang w:eastAsia="zh-CN"/>
        </w:rPr>
        <w:t>。</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4.参赛课程</w:t>
      </w:r>
      <w:r>
        <w:rPr>
          <w:rFonts w:ascii="仿宋_GB2312" w:hAnsi="华文仿宋" w:eastAsia="仿宋_GB2312"/>
          <w:sz w:val="30"/>
          <w:szCs w:val="30"/>
        </w:rPr>
        <w:t>16个</w:t>
      </w:r>
      <w:r>
        <w:rPr>
          <w:rFonts w:hint="eastAsia" w:ascii="仿宋_GB2312" w:hAnsi="华文仿宋" w:eastAsia="仿宋_GB2312"/>
          <w:sz w:val="30"/>
          <w:szCs w:val="30"/>
        </w:rPr>
        <w:t>学时相对应的16个课堂教学节段PPT，课堂教学内容与教学设计内容对应、一致。格式为Powerpoint演示文稿16：9大小，分辨率为1600*900。需将课堂教学节段PPT和相关音频、视频文档等辅助材料一并上传。</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5.竞赛材料</w:t>
      </w:r>
      <w:r>
        <w:rPr>
          <w:rFonts w:hint="eastAsia" w:ascii="仿宋_GB2312" w:hAnsi="华文仿宋" w:eastAsia="仿宋_GB2312"/>
          <w:sz w:val="30"/>
          <w:szCs w:val="30"/>
          <w:lang w:eastAsia="zh-CN"/>
        </w:rPr>
        <w:t>格式为</w:t>
      </w:r>
      <w:r>
        <w:rPr>
          <w:rFonts w:hint="eastAsia" w:ascii="仿宋_GB2312" w:hAnsi="华文仿宋" w:eastAsia="仿宋_GB2312"/>
          <w:sz w:val="30"/>
          <w:szCs w:val="30"/>
        </w:rPr>
        <w:t>一级标题用3号黑体加粗；二级标题用4号黑体加粗；三级标题用小4号黑体加粗。正文内容用小4号宋体，1.5倍行距。</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lang w:eastAsia="zh-CN"/>
        </w:rPr>
        <w:t>教学设计评分细则</w:t>
      </w:r>
      <w:r>
        <w:rPr>
          <w:rFonts w:hint="eastAsia" w:ascii="仿宋_GB2312" w:hAnsi="华文仿宋" w:eastAsia="仿宋_GB2312"/>
          <w:sz w:val="30"/>
          <w:szCs w:val="30"/>
        </w:rPr>
        <w:t>见附件2-2。</w:t>
      </w:r>
    </w:p>
    <w:p>
      <w:pPr>
        <w:adjustRightInd w:val="0"/>
        <w:spacing w:line="560" w:lineRule="exact"/>
        <w:ind w:firstLine="600" w:firstLineChars="200"/>
        <w:rPr>
          <w:rFonts w:ascii="楷体_GB2312" w:hAnsi="楷体" w:eastAsia="楷体_GB2312"/>
          <w:sz w:val="30"/>
          <w:szCs w:val="30"/>
        </w:rPr>
      </w:pPr>
      <w:r>
        <w:rPr>
          <w:rFonts w:hint="eastAsia" w:ascii="楷体_GB2312" w:hAnsi="楷体" w:eastAsia="楷体_GB2312"/>
          <w:sz w:val="30"/>
          <w:szCs w:val="30"/>
        </w:rPr>
        <w:t>（二）课堂教学</w:t>
      </w:r>
    </w:p>
    <w:p>
      <w:pPr>
        <w:adjustRightInd w:val="0"/>
        <w:spacing w:line="54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课堂教学时间为20分钟。主要从教学内容、教学组织、教学语言与教态、教学特色四个方面进行评审。</w:t>
      </w:r>
    </w:p>
    <w:p>
      <w:pPr>
        <w:adjustRightInd w:val="0"/>
        <w:spacing w:line="54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lang w:eastAsia="zh-CN"/>
        </w:rPr>
        <w:t>课堂教学评分细则</w:t>
      </w:r>
      <w:r>
        <w:rPr>
          <w:rFonts w:hint="eastAsia" w:ascii="仿宋_GB2312" w:hAnsi="华文仿宋" w:eastAsia="仿宋_GB2312"/>
          <w:sz w:val="30"/>
          <w:szCs w:val="30"/>
        </w:rPr>
        <w:t>见附件2-3。</w:t>
      </w:r>
    </w:p>
    <w:p>
      <w:pPr>
        <w:adjustRightInd w:val="0"/>
        <w:spacing w:line="540" w:lineRule="exact"/>
        <w:ind w:firstLine="600" w:firstLineChars="200"/>
        <w:rPr>
          <w:rFonts w:ascii="楷体_GB2312" w:hAnsi="楷体" w:eastAsia="楷体_GB2312"/>
          <w:sz w:val="30"/>
          <w:szCs w:val="30"/>
        </w:rPr>
      </w:pPr>
      <w:r>
        <w:rPr>
          <w:rFonts w:hint="eastAsia" w:ascii="楷体_GB2312" w:hAnsi="楷体" w:eastAsia="楷体_GB2312"/>
          <w:sz w:val="30"/>
          <w:szCs w:val="30"/>
        </w:rPr>
        <w:t>（三）教学反思</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课堂教学环节结束后，结合本节段课堂教学实际，从教学理念、教学方法和教学过程三方面着手，现场进行5分钟的教学反思，要求思路清晰、观点明确、联系实际、表达流畅，做到有感而发，不允许携带任何书面或电子等形式的资料。</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lang w:eastAsia="zh-CN"/>
        </w:rPr>
        <w:t>教学反思评分表</w:t>
      </w:r>
      <w:r>
        <w:rPr>
          <w:rFonts w:hint="eastAsia" w:ascii="仿宋_GB2312" w:hAnsi="华文仿宋" w:eastAsia="仿宋_GB2312"/>
          <w:sz w:val="30"/>
          <w:szCs w:val="30"/>
        </w:rPr>
        <w:t>见附件2-4。</w:t>
      </w:r>
    </w:p>
    <w:p>
      <w:pPr>
        <w:adjustRightInd w:val="0"/>
        <w:spacing w:line="560" w:lineRule="exact"/>
        <w:ind w:firstLine="600" w:firstLineChars="200"/>
        <w:rPr>
          <w:rFonts w:ascii="楷体_GB2312" w:hAnsi="华文仿宋" w:eastAsia="楷体_GB2312"/>
          <w:sz w:val="30"/>
          <w:szCs w:val="30"/>
        </w:rPr>
      </w:pPr>
      <w:r>
        <w:rPr>
          <w:rFonts w:hint="eastAsia" w:ascii="楷体_GB2312" w:hAnsi="华文仿宋" w:eastAsia="楷体_GB2312"/>
          <w:sz w:val="30"/>
          <w:szCs w:val="30"/>
        </w:rPr>
        <w:t>（四）注意事项</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1.参赛课程的课堂讲授学时不得少于2个学分（含2个学分）；</w:t>
      </w:r>
    </w:p>
    <w:p>
      <w:pPr>
        <w:adjustRightInd w:val="0"/>
        <w:spacing w:line="560" w:lineRule="exact"/>
        <w:ind w:firstLine="600" w:firstLineChars="200"/>
        <w:rPr>
          <w:rFonts w:ascii="仿宋_GB2312" w:hAnsi="华文仿宋" w:eastAsia="仿宋_GB2312"/>
          <w:bCs/>
          <w:sz w:val="30"/>
          <w:szCs w:val="30"/>
        </w:rPr>
      </w:pPr>
      <w:r>
        <w:rPr>
          <w:rFonts w:hint="eastAsia" w:ascii="仿宋_GB2312" w:hAnsi="华文仿宋" w:eastAsia="仿宋_GB2312"/>
          <w:bCs/>
          <w:sz w:val="30"/>
          <w:szCs w:val="30"/>
        </w:rPr>
        <w:t>2.在课堂教学环节以及提交的参赛材料中</w:t>
      </w:r>
      <w:r>
        <w:rPr>
          <w:rFonts w:hint="eastAsia" w:ascii="仿宋_GB2312" w:hAnsi="华文仿宋" w:eastAsia="仿宋_GB2312"/>
          <w:bCs/>
          <w:sz w:val="30"/>
          <w:szCs w:val="30"/>
          <w:lang w:eastAsia="zh-CN"/>
        </w:rPr>
        <w:t>，</w:t>
      </w:r>
      <w:r>
        <w:rPr>
          <w:rFonts w:hint="eastAsia" w:ascii="仿宋_GB2312" w:hAnsi="华文仿宋" w:eastAsia="仿宋_GB2312"/>
          <w:bCs/>
          <w:sz w:val="30"/>
          <w:szCs w:val="30"/>
        </w:rPr>
        <w:t>出现选手</w:t>
      </w:r>
      <w:r>
        <w:rPr>
          <w:rFonts w:hint="eastAsia" w:ascii="仿宋_GB2312" w:hAnsi="华文仿宋" w:eastAsia="仿宋_GB2312"/>
          <w:bCs/>
          <w:sz w:val="30"/>
          <w:szCs w:val="30"/>
          <w:lang w:eastAsia="zh-CN"/>
        </w:rPr>
        <w:t>个人</w:t>
      </w:r>
      <w:r>
        <w:rPr>
          <w:rFonts w:hint="eastAsia" w:ascii="仿宋_GB2312" w:hAnsi="华文仿宋" w:eastAsia="仿宋_GB2312"/>
          <w:bCs/>
          <w:sz w:val="30"/>
          <w:szCs w:val="30"/>
        </w:rPr>
        <w:t>、所属学校、所属科研团队等信息，酌情扣分；</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3.提交的16个教学设计和16个教学PPT中出现大量重复性内容及案例的，酌情扣分；</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4.根据课程需要，参赛选手可携带教学模型、挂图等教具，翻页器、黑板、粉笔等由组委会统一提供；</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5.课堂教学采取“无生教学”</w:t>
      </w:r>
      <w:r>
        <w:rPr>
          <w:rFonts w:hint="eastAsia" w:ascii="仿宋_GB2312" w:hAnsi="华文仿宋" w:eastAsia="仿宋_GB2312"/>
          <w:sz w:val="30"/>
          <w:szCs w:val="30"/>
          <w:lang w:eastAsia="zh-CN"/>
        </w:rPr>
        <w:t>现场授课</w:t>
      </w:r>
      <w:r>
        <w:rPr>
          <w:rFonts w:hint="eastAsia" w:ascii="仿宋_GB2312" w:hAnsi="华文仿宋" w:eastAsia="仿宋_GB2312"/>
          <w:sz w:val="30"/>
          <w:szCs w:val="30"/>
        </w:rPr>
        <w:t>的形式，并全程网络直播，视频版权归组委会所有。</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6.组委会将</w:t>
      </w:r>
      <w:r>
        <w:rPr>
          <w:rFonts w:hint="eastAsia" w:ascii="仿宋_GB2312" w:hAnsi="华文仿宋" w:eastAsia="仿宋_GB2312"/>
          <w:sz w:val="30"/>
          <w:szCs w:val="30"/>
          <w:lang w:eastAsia="zh-CN"/>
        </w:rPr>
        <w:t>于</w:t>
      </w:r>
      <w:r>
        <w:rPr>
          <w:rFonts w:hint="eastAsia" w:ascii="仿宋_GB2312" w:hAnsi="华文仿宋" w:eastAsia="仿宋_GB2312"/>
          <w:sz w:val="30"/>
          <w:szCs w:val="30"/>
        </w:rPr>
        <w:t>赛前召开参赛单位领队会议，抽签确定选手参赛次序。将</w:t>
      </w:r>
      <w:r>
        <w:rPr>
          <w:rFonts w:hint="eastAsia" w:ascii="仿宋_GB2312" w:hAnsi="华文仿宋" w:eastAsia="仿宋_GB2312"/>
          <w:sz w:val="30"/>
          <w:szCs w:val="30"/>
          <w:lang w:eastAsia="zh-CN"/>
        </w:rPr>
        <w:t>于</w:t>
      </w:r>
      <w:r>
        <w:rPr>
          <w:rFonts w:hint="eastAsia" w:ascii="仿宋_GB2312" w:hAnsi="华文仿宋" w:eastAsia="仿宋_GB2312"/>
          <w:sz w:val="30"/>
          <w:szCs w:val="30"/>
        </w:rPr>
        <w:t>比赛</w:t>
      </w:r>
      <w:r>
        <w:rPr>
          <w:rFonts w:hint="eastAsia" w:ascii="仿宋_GB2312" w:hAnsi="华文仿宋" w:eastAsia="仿宋_GB2312"/>
          <w:sz w:val="30"/>
          <w:szCs w:val="30"/>
          <w:lang w:eastAsia="zh-CN"/>
        </w:rPr>
        <w:t>开赛</w:t>
      </w:r>
      <w:r>
        <w:rPr>
          <w:rFonts w:hint="eastAsia" w:ascii="仿宋_GB2312" w:hAnsi="华文仿宋" w:eastAsia="仿宋_GB2312"/>
          <w:sz w:val="30"/>
          <w:szCs w:val="30"/>
        </w:rPr>
        <w:t>前半小时</w:t>
      </w:r>
      <w:r>
        <w:rPr>
          <w:rFonts w:hint="eastAsia" w:ascii="仿宋_GB2312" w:hAnsi="华文仿宋" w:eastAsia="仿宋_GB2312"/>
          <w:sz w:val="30"/>
          <w:szCs w:val="30"/>
          <w:lang w:eastAsia="zh-CN"/>
        </w:rPr>
        <w:t>，由</w:t>
      </w:r>
      <w:r>
        <w:rPr>
          <w:rFonts w:hint="eastAsia" w:ascii="仿宋_GB2312" w:hAnsi="华文仿宋" w:eastAsia="仿宋_GB2312"/>
          <w:sz w:val="30"/>
          <w:szCs w:val="30"/>
        </w:rPr>
        <w:t>选手现场抽签确定参赛的具体教学节段。</w:t>
      </w:r>
    </w:p>
    <w:p>
      <w:pPr>
        <w:adjustRightInd w:val="0"/>
        <w:spacing w:line="540" w:lineRule="exact"/>
        <w:ind w:firstLine="600" w:firstLineChars="200"/>
        <w:rPr>
          <w:rFonts w:ascii="仿宋_GB2312" w:hAnsi="华文仿宋" w:eastAsia="仿宋_GB2312"/>
          <w:sz w:val="30"/>
          <w:szCs w:val="30"/>
        </w:rPr>
      </w:pPr>
      <w:r>
        <w:rPr>
          <w:rFonts w:hint="eastAsia" w:ascii="黑体" w:hAnsi="黑体" w:eastAsia="黑体"/>
          <w:sz w:val="30"/>
          <w:szCs w:val="30"/>
        </w:rPr>
        <w:t>五、竞赛设备配置</w:t>
      </w:r>
    </w:p>
    <w:p>
      <w:pPr>
        <w:adjustRightInd w:val="0"/>
        <w:spacing w:line="560" w:lineRule="exact"/>
        <w:ind w:firstLine="600" w:firstLineChars="200"/>
        <w:rPr>
          <w:rFonts w:ascii="仿宋_GB2312" w:hAnsi="华文仿宋" w:eastAsia="仿宋_GB2312"/>
          <w:sz w:val="30"/>
          <w:szCs w:val="30"/>
        </w:rPr>
      </w:pPr>
      <w:r>
        <w:rPr>
          <w:rFonts w:hint="eastAsia" w:ascii="楷体_GB2312" w:hAnsi="楷体" w:eastAsia="楷体_GB2312"/>
          <w:sz w:val="30"/>
          <w:szCs w:val="30"/>
        </w:rPr>
        <w:t>（一）计算机</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1.系统版本：Win10专业版；</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2.处理器：Intel（R）i5-95003GHz；</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3.内存（RAM）:8GB；</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4.系统类型：64位操作系统；</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5.应用软件版本：office2016，支持PDF格式；</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6.播放器：暴风影音，potplayer，腾讯视频，爱奇艺。</w:t>
      </w:r>
    </w:p>
    <w:p>
      <w:pPr>
        <w:adjustRightInd w:val="0"/>
        <w:spacing w:line="560" w:lineRule="exact"/>
        <w:ind w:firstLine="600" w:firstLineChars="200"/>
        <w:rPr>
          <w:rFonts w:ascii="仿宋_GB2312" w:hAnsi="华文仿宋" w:eastAsia="仿宋_GB2312"/>
          <w:sz w:val="30"/>
          <w:szCs w:val="30"/>
        </w:rPr>
      </w:pPr>
      <w:r>
        <w:rPr>
          <w:rFonts w:hint="eastAsia" w:ascii="楷体_GB2312" w:hAnsi="楷体" w:eastAsia="楷体_GB2312"/>
          <w:sz w:val="30"/>
          <w:szCs w:val="30"/>
        </w:rPr>
        <w:t>（二）投影机</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型号为爱普生CB-1485Fi。</w:t>
      </w:r>
    </w:p>
    <w:p>
      <w:pPr>
        <w:adjustRightInd w:val="0"/>
        <w:spacing w:line="560" w:lineRule="exact"/>
        <w:ind w:firstLine="600" w:firstLineChars="200"/>
        <w:rPr>
          <w:rFonts w:ascii="仿宋_GB2312" w:hAnsi="华文仿宋" w:eastAsia="仿宋_GB2312"/>
          <w:sz w:val="30"/>
          <w:szCs w:val="30"/>
        </w:rPr>
      </w:pPr>
      <w:r>
        <w:rPr>
          <w:rFonts w:hint="eastAsia" w:ascii="楷体_GB2312" w:hAnsi="楷体" w:eastAsia="楷体_GB2312"/>
          <w:sz w:val="30"/>
          <w:szCs w:val="30"/>
        </w:rPr>
        <w:t>（三）翻页笔</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型号为得力（deli）2801</w:t>
      </w:r>
    </w:p>
    <w:p>
      <w:pPr>
        <w:adjustRightInd w:val="0"/>
        <w:spacing w:line="560" w:lineRule="exact"/>
        <w:ind w:firstLine="600" w:firstLineChars="200"/>
        <w:rPr>
          <w:rFonts w:ascii="仿宋_GB2312" w:hAnsi="华文仿宋" w:eastAsia="仿宋_GB2312"/>
          <w:sz w:val="30"/>
          <w:szCs w:val="30"/>
        </w:rPr>
      </w:pPr>
      <w:r>
        <w:rPr>
          <w:rFonts w:hint="eastAsia" w:ascii="楷体_GB2312" w:hAnsi="楷体" w:eastAsia="楷体_GB2312"/>
          <w:sz w:val="30"/>
          <w:szCs w:val="30"/>
        </w:rPr>
        <w:t>（四）其他</w:t>
      </w:r>
    </w:p>
    <w:p>
      <w:pPr>
        <w:adjustRightInd w:val="0"/>
        <w:spacing w:line="560" w:lineRule="exact"/>
        <w:ind w:firstLine="600" w:firstLineChars="200"/>
        <w:rPr>
          <w:rFonts w:hint="eastAsia" w:ascii="仿宋_GB2312" w:hAnsi="华文仿宋" w:eastAsia="仿宋_GB2312"/>
          <w:sz w:val="30"/>
          <w:szCs w:val="30"/>
        </w:rPr>
      </w:pPr>
      <w:r>
        <w:rPr>
          <w:rFonts w:hint="eastAsia" w:ascii="仿宋_GB2312" w:hAnsi="华文仿宋" w:eastAsia="仿宋_GB2312"/>
          <w:sz w:val="30"/>
          <w:szCs w:val="30"/>
        </w:rPr>
        <w:t>投影仪自带的白板长2米，高1.25米；白板两侧为有磁性的深绿色黑板，长1.7米，高1.2米。赛场内提供白色及多色粉笔。</w:t>
      </w:r>
    </w:p>
    <w:p>
      <w:pPr>
        <w:adjustRightInd w:val="0"/>
        <w:spacing w:line="560" w:lineRule="exact"/>
        <w:ind w:firstLine="600" w:firstLineChars="200"/>
        <w:rPr>
          <w:rFonts w:hint="eastAsia" w:ascii="仿宋_GB2312" w:hAnsi="华文仿宋" w:eastAsia="仿宋_GB2312"/>
          <w:sz w:val="30"/>
          <w:szCs w:val="30"/>
          <w:lang w:eastAsia="zh-CN"/>
        </w:rPr>
      </w:pPr>
      <w:r>
        <w:rPr>
          <w:rFonts w:hint="eastAsia" w:ascii="仿宋_GB2312" w:hAnsi="华文仿宋" w:eastAsia="仿宋_GB2312"/>
          <w:sz w:val="30"/>
          <w:szCs w:val="30"/>
        </w:rPr>
        <w:t>赛前组委会将开放竞赛场地，供选手试用设备和熟悉比赛环境。</w:t>
      </w:r>
      <w:r>
        <w:rPr>
          <w:rFonts w:hint="eastAsia" w:ascii="仿宋_GB2312" w:hAnsi="华文仿宋" w:eastAsia="仿宋_GB2312"/>
          <w:sz w:val="30"/>
          <w:szCs w:val="30"/>
          <w:lang w:eastAsia="zh-CN"/>
        </w:rPr>
        <w:t>（具体事宜，另行通知）</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上海师范大学联系地址：桂林路100号，联系人及电话：沈佩华，64322278，13681812207。</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上海市教育工会联系人及电话：焦老师，62539047，18116286940；曾老师13818404877；王老师，15036163240。</w:t>
      </w:r>
    </w:p>
    <w:p>
      <w:pPr>
        <w:adjustRightInd w:val="0"/>
        <w:ind w:left="1045" w:leftChars="249" w:hanging="522" w:hangingChars="174"/>
        <w:rPr>
          <w:rFonts w:ascii="仿宋_GB2312" w:hAnsi="华文仿宋" w:eastAsia="仿宋_GB2312"/>
          <w:color w:val="FF0000"/>
          <w:sz w:val="30"/>
          <w:szCs w:val="30"/>
        </w:rPr>
      </w:pPr>
    </w:p>
    <w:p>
      <w:pPr>
        <w:adjustRightInd w:val="0"/>
        <w:spacing w:line="560" w:lineRule="exact"/>
        <w:rPr>
          <w:rFonts w:ascii="仿宋_GB2312" w:hAnsi="华文仿宋" w:eastAsia="仿宋_GB2312"/>
          <w:sz w:val="30"/>
          <w:szCs w:val="30"/>
        </w:rPr>
      </w:pPr>
      <w:r>
        <w:rPr>
          <w:rFonts w:hint="eastAsia" w:ascii="仿宋_GB2312" w:hAnsi="华文仿宋" w:eastAsia="仿宋_GB2312"/>
          <w:sz w:val="30"/>
          <w:szCs w:val="30"/>
        </w:rPr>
        <w:t>附件：</w:t>
      </w:r>
      <w:r>
        <w:rPr>
          <w:rFonts w:hint="eastAsia" w:ascii="仿宋_GB2312" w:hAnsi="华文仿宋" w:eastAsia="仿宋_GB2312"/>
          <w:color w:val="FF0000"/>
          <w:sz w:val="30"/>
          <w:szCs w:val="30"/>
        </w:rPr>
        <w:t xml:space="preserve"> </w:t>
      </w:r>
      <w:r>
        <w:rPr>
          <w:rFonts w:hint="eastAsia" w:ascii="仿宋_GB2312" w:hAnsi="华文仿宋" w:eastAsia="仿宋_GB2312"/>
          <w:spacing w:val="-6"/>
          <w:sz w:val="30"/>
          <w:szCs w:val="30"/>
        </w:rPr>
        <w:t>2-1 第六届上海高校青年教师教学竞赛教学节段目录（范例）</w:t>
      </w:r>
    </w:p>
    <w:p>
      <w:pPr>
        <w:adjustRightInd w:val="0"/>
        <w:spacing w:line="560" w:lineRule="exact"/>
        <w:ind w:firstLine="900" w:firstLineChars="300"/>
        <w:rPr>
          <w:rFonts w:ascii="仿宋_GB2312" w:hAnsi="华文仿宋" w:eastAsia="仿宋_GB2312"/>
          <w:sz w:val="30"/>
          <w:szCs w:val="30"/>
        </w:rPr>
      </w:pPr>
      <w:r>
        <w:rPr>
          <w:rFonts w:hint="eastAsia" w:ascii="仿宋_GB2312" w:hAnsi="华文仿宋" w:eastAsia="仿宋_GB2312"/>
          <w:sz w:val="30"/>
          <w:szCs w:val="30"/>
          <w:lang w:val="en-US" w:eastAsia="zh-CN"/>
        </w:rPr>
        <w:t xml:space="preserve"> </w:t>
      </w:r>
      <w:r>
        <w:rPr>
          <w:rFonts w:hint="eastAsia" w:ascii="仿宋_GB2312" w:hAnsi="华文仿宋" w:eastAsia="仿宋_GB2312"/>
          <w:sz w:val="30"/>
          <w:szCs w:val="30"/>
        </w:rPr>
        <w:t>2-2 第六届上海高校青年教师教学竞赛教学设计评分细则</w:t>
      </w:r>
    </w:p>
    <w:p>
      <w:pPr>
        <w:adjustRightInd w:val="0"/>
        <w:spacing w:line="560" w:lineRule="exact"/>
        <w:ind w:firstLine="900" w:firstLineChars="300"/>
        <w:rPr>
          <w:rFonts w:ascii="仿宋_GB2312" w:hAnsi="华文仿宋" w:eastAsia="仿宋_GB2312"/>
          <w:sz w:val="30"/>
          <w:szCs w:val="30"/>
        </w:rPr>
      </w:pPr>
      <w:r>
        <w:rPr>
          <w:rFonts w:hint="eastAsia" w:ascii="仿宋_GB2312" w:hAnsi="华文仿宋" w:eastAsia="仿宋_GB2312"/>
          <w:sz w:val="30"/>
          <w:szCs w:val="30"/>
          <w:lang w:val="en-US" w:eastAsia="zh-CN"/>
        </w:rPr>
        <w:t xml:space="preserve"> </w:t>
      </w:r>
      <w:r>
        <w:rPr>
          <w:rFonts w:hint="eastAsia" w:ascii="仿宋_GB2312" w:hAnsi="华文仿宋" w:eastAsia="仿宋_GB2312"/>
          <w:sz w:val="30"/>
          <w:szCs w:val="30"/>
        </w:rPr>
        <w:t>2-3 第六届上海高校青年教师教学竞赛课堂教学评分细则</w:t>
      </w:r>
    </w:p>
    <w:p>
      <w:pPr>
        <w:adjustRightInd w:val="0"/>
        <w:spacing w:line="560" w:lineRule="exact"/>
        <w:ind w:firstLine="900" w:firstLineChars="300"/>
        <w:rPr>
          <w:rFonts w:ascii="仿宋_GB2312" w:hAnsi="华文仿宋" w:eastAsia="仿宋_GB2312"/>
          <w:sz w:val="30"/>
          <w:szCs w:val="30"/>
        </w:rPr>
      </w:pPr>
      <w:r>
        <w:rPr>
          <w:rFonts w:hint="eastAsia" w:ascii="仿宋_GB2312" w:hAnsi="华文仿宋" w:eastAsia="仿宋_GB2312"/>
          <w:sz w:val="30"/>
          <w:szCs w:val="30"/>
          <w:lang w:val="en-US" w:eastAsia="zh-CN"/>
        </w:rPr>
        <w:t xml:space="preserve"> </w:t>
      </w:r>
      <w:r>
        <w:rPr>
          <w:rFonts w:hint="eastAsia" w:ascii="仿宋_GB2312" w:hAnsi="华文仿宋" w:eastAsia="仿宋_GB2312"/>
          <w:sz w:val="30"/>
          <w:szCs w:val="30"/>
        </w:rPr>
        <w:t>2-4 第六届上海高校青年教师教学竞赛教学反思评分表</w:t>
      </w:r>
    </w:p>
    <w:p>
      <w:pPr>
        <w:adjustRightInd w:val="0"/>
        <w:spacing w:line="560" w:lineRule="exact"/>
        <w:ind w:firstLine="900" w:firstLineChars="300"/>
        <w:rPr>
          <w:rFonts w:ascii="仿宋_GB2312" w:hAnsi="华文仿宋" w:eastAsia="仿宋_GB2312"/>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rPr>
          <w:rFonts w:hint="eastAsia" w:ascii="黑体" w:hAnsi="黑体" w:eastAsia="黑体"/>
          <w:kern w:val="0"/>
          <w:sz w:val="30"/>
          <w:szCs w:val="30"/>
        </w:rPr>
      </w:pPr>
      <w:r>
        <w:rPr>
          <w:rFonts w:hint="eastAsia" w:ascii="黑体" w:hAnsi="黑体" w:eastAsia="黑体"/>
          <w:kern w:val="0"/>
          <w:sz w:val="30"/>
          <w:szCs w:val="30"/>
        </w:rPr>
        <w:br w:type="page"/>
      </w:r>
    </w:p>
    <w:p>
      <w:pPr>
        <w:keepNext w:val="0"/>
        <w:keepLines w:val="0"/>
        <w:pageBreakBefore w:val="0"/>
        <w:widowControl w:val="0"/>
        <w:kinsoku/>
        <w:wordWrap/>
        <w:overflowPunct/>
        <w:topLinePunct w:val="0"/>
        <w:bidi w:val="0"/>
        <w:adjustRightInd/>
        <w:snapToGrid/>
        <w:spacing w:line="600" w:lineRule="exact"/>
        <w:textAlignment w:val="auto"/>
        <w:rPr>
          <w:rFonts w:hint="eastAsia" w:ascii="黑体" w:hAnsi="黑体" w:eastAsia="黑体"/>
          <w:kern w:val="0"/>
          <w:sz w:val="30"/>
          <w:szCs w:val="30"/>
          <w:lang w:val="en-US" w:eastAsia="zh-CN"/>
        </w:rPr>
      </w:pPr>
      <w:r>
        <w:rPr>
          <w:rFonts w:hint="eastAsia" w:ascii="黑体" w:hAnsi="黑体" w:eastAsia="黑体"/>
          <w:kern w:val="0"/>
          <w:sz w:val="30"/>
          <w:szCs w:val="30"/>
        </w:rPr>
        <w:t>附件2-</w:t>
      </w:r>
      <w:r>
        <w:rPr>
          <w:rFonts w:hint="eastAsia" w:ascii="黑体" w:hAnsi="黑体" w:eastAsia="黑体"/>
          <w:kern w:val="0"/>
          <w:sz w:val="30"/>
          <w:szCs w:val="30"/>
          <w:lang w:val="en-US" w:eastAsia="zh-CN"/>
        </w:rPr>
        <w:t>1</w:t>
      </w:r>
    </w:p>
    <w:p>
      <w:pPr>
        <w:keepNext w:val="0"/>
        <w:keepLines w:val="0"/>
        <w:pageBreakBefore w:val="0"/>
        <w:widowControl w:val="0"/>
        <w:kinsoku/>
        <w:wordWrap/>
        <w:overflowPunct/>
        <w:topLinePunct w:val="0"/>
        <w:bidi w:val="0"/>
        <w:adjustRightInd/>
        <w:snapToGrid/>
        <w:spacing w:line="600" w:lineRule="exact"/>
        <w:textAlignment w:val="auto"/>
        <w:rPr>
          <w:rFonts w:hint="eastAsia" w:ascii="黑体" w:hAnsi="黑体" w:eastAsia="黑体"/>
          <w:kern w:val="0"/>
          <w:sz w:val="30"/>
          <w:szCs w:val="30"/>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left="974"/>
        <w:jc w:val="center"/>
        <w:textAlignment w:val="auto"/>
        <w:outlineLvl w:val="0"/>
        <w:rPr>
          <w:rFonts w:hint="eastAsia" w:ascii="方正小标宋简体" w:hAnsi="华文中宋" w:eastAsia="华文中宋" w:cs="Times New Roman"/>
          <w:bCs/>
          <w:kern w:val="0"/>
          <w:sz w:val="38"/>
          <w:szCs w:val="38"/>
          <w:lang w:val="en-US" w:eastAsia="zh-CN" w:bidi="ar-SA"/>
        </w:rPr>
      </w:pPr>
      <w:r>
        <w:rPr>
          <w:rFonts w:hint="eastAsia" w:ascii="方正小标宋简体" w:hAnsi="华文中宋" w:eastAsia="华文中宋" w:cs="Times New Roman"/>
          <w:bCs/>
          <w:kern w:val="0"/>
          <w:sz w:val="38"/>
          <w:szCs w:val="38"/>
          <w:lang w:val="en-US" w:eastAsia="zh-CN" w:bidi="ar-SA"/>
        </w:rPr>
        <w:t>第六届上海高校青年教师教学竞赛</w:t>
      </w:r>
    </w:p>
    <w:p>
      <w:pPr>
        <w:keepNext w:val="0"/>
        <w:keepLines w:val="0"/>
        <w:pageBreakBefore w:val="0"/>
        <w:widowControl w:val="0"/>
        <w:kinsoku/>
        <w:wordWrap/>
        <w:overflowPunct/>
        <w:topLinePunct w:val="0"/>
        <w:autoSpaceDE w:val="0"/>
        <w:autoSpaceDN w:val="0"/>
        <w:bidi w:val="0"/>
        <w:adjustRightInd/>
        <w:snapToGrid/>
        <w:spacing w:line="600" w:lineRule="exact"/>
        <w:ind w:left="974"/>
        <w:jc w:val="center"/>
        <w:textAlignment w:val="auto"/>
        <w:outlineLvl w:val="0"/>
        <w:rPr>
          <w:rFonts w:hint="eastAsia" w:ascii="方正小标宋简体" w:hAnsi="华文中宋" w:eastAsia="华文中宋" w:cs="Times New Roman"/>
          <w:bCs/>
          <w:kern w:val="0"/>
          <w:sz w:val="38"/>
          <w:szCs w:val="38"/>
          <w:lang w:val="en-US" w:eastAsia="zh-CN" w:bidi="ar-SA"/>
        </w:rPr>
      </w:pPr>
      <w:r>
        <w:rPr>
          <w:rFonts w:hint="eastAsia" w:ascii="方正小标宋简体" w:hAnsi="华文中宋" w:eastAsia="华文中宋" w:cs="Times New Roman"/>
          <w:bCs/>
          <w:kern w:val="0"/>
          <w:sz w:val="38"/>
          <w:szCs w:val="38"/>
          <w:lang w:val="en-US" w:eastAsia="zh-CN" w:bidi="ar-SA"/>
        </w:rPr>
        <w:t>教学节段目录（范例）</w:t>
      </w:r>
    </w:p>
    <w:p>
      <w:pPr>
        <w:keepNext w:val="0"/>
        <w:keepLines w:val="0"/>
        <w:pageBreakBefore w:val="0"/>
        <w:widowControl w:val="0"/>
        <w:kinsoku/>
        <w:wordWrap/>
        <w:overflowPunct/>
        <w:topLinePunct w:val="0"/>
        <w:autoSpaceDE w:val="0"/>
        <w:autoSpaceDN w:val="0"/>
        <w:bidi w:val="0"/>
        <w:adjustRightInd/>
        <w:snapToGrid/>
        <w:spacing w:before="436" w:line="600" w:lineRule="exact"/>
        <w:ind w:left="120" w:right="216" w:firstLine="480"/>
        <w:textAlignment w:val="auto"/>
        <w:rPr>
          <w:rFonts w:hint="eastAsia" w:ascii="仿宋_GB2312" w:hAnsi="华文仿宋" w:eastAsia="仿宋_GB2312" w:cs="Times New Roman"/>
          <w:kern w:val="2"/>
          <w:sz w:val="30"/>
          <w:szCs w:val="30"/>
          <w:lang w:val="en-US" w:eastAsia="en-US" w:bidi="ar-SA"/>
        </w:rPr>
      </w:pPr>
      <w:r>
        <w:rPr>
          <w:rFonts w:hint="eastAsia" w:ascii="仿宋_GB2312" w:hAnsi="华文仿宋" w:eastAsia="仿宋_GB2312" w:cs="Times New Roman"/>
          <w:kern w:val="2"/>
          <w:sz w:val="30"/>
          <w:szCs w:val="30"/>
          <w:lang w:val="en-US" w:eastAsia="zh-CN" w:bidi="ar-SA"/>
        </w:rPr>
        <w:t>《计算机科学导论》教学大纲中基本教学内容分为四大模块，分别为“计算思维”、“数据思维”、“智能思维”、“前沿应用”，共22个章节，此次教</w:t>
      </w:r>
      <w:r>
        <w:rPr>
          <w:rFonts w:hint="eastAsia" w:ascii="仿宋_GB2312" w:hAnsi="华文仿宋" w:eastAsia="仿宋_GB2312" w:cs="Times New Roman"/>
          <w:kern w:val="2"/>
          <w:sz w:val="30"/>
          <w:szCs w:val="30"/>
          <w:lang w:val="en-US" w:eastAsia="en-US" w:bidi="ar-SA"/>
        </w:rPr>
        <w:t>学设计节选自</w:t>
      </w:r>
      <w:r>
        <w:rPr>
          <w:rFonts w:hint="eastAsia" w:ascii="仿宋_GB2312" w:hAnsi="华文仿宋" w:eastAsia="仿宋_GB2312" w:cs="Times New Roman"/>
          <w:kern w:val="2"/>
          <w:sz w:val="30"/>
          <w:szCs w:val="30"/>
          <w:lang w:val="en-US" w:eastAsia="zh-CN" w:bidi="ar-SA"/>
        </w:rPr>
        <w:t>16</w:t>
      </w:r>
      <w:r>
        <w:rPr>
          <w:rFonts w:hint="eastAsia" w:ascii="仿宋_GB2312" w:hAnsi="华文仿宋" w:eastAsia="仿宋_GB2312" w:cs="Times New Roman"/>
          <w:kern w:val="2"/>
          <w:sz w:val="30"/>
          <w:szCs w:val="30"/>
          <w:lang w:val="en-US" w:eastAsia="en-US" w:bidi="ar-SA"/>
        </w:rPr>
        <w:t>个章节。</w:t>
      </w:r>
    </w:p>
    <w:p>
      <w:pPr>
        <w:keepNext w:val="0"/>
        <w:keepLines w:val="0"/>
        <w:pageBreakBefore w:val="0"/>
        <w:widowControl w:val="0"/>
        <w:kinsoku/>
        <w:wordWrap/>
        <w:overflowPunct/>
        <w:topLinePunct w:val="0"/>
        <w:autoSpaceDE w:val="0"/>
        <w:autoSpaceDN w:val="0"/>
        <w:bidi w:val="0"/>
        <w:adjustRightInd/>
        <w:snapToGrid/>
        <w:spacing w:before="436" w:line="600" w:lineRule="exact"/>
        <w:ind w:right="216"/>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 xml:space="preserve">     1. 深度优先搜索，选自第一模块“计算思维”中的第二章“搜索算法”</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2. 广度优先搜索，选自第一模块“计算思维”中的第二章“搜索算法”</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1"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3. 归并排序算法，选自第一模块“计算思维”中的第三章“排序算法”</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4. 生产调度算法，选自第一模块“计算思维”中的第四章“调度算法”</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5. 最短路径算法，选自第一模块“计算思维”中的第五章“图算法”</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6. 图灵机，选自第一模块“计算思维”中的第六章“计算复杂性”</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1"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7. 数据库查询，选自第二模块“数据思维”中的第一章“数据库”</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8. 数据索引B+树，选自第二模块“数据思维”中的第二章“数据索引”</w:t>
      </w:r>
    </w:p>
    <w:p>
      <w:pPr>
        <w:keepNext w:val="0"/>
        <w:keepLines w:val="0"/>
        <w:pageBreakBefore w:val="0"/>
        <w:widowControl w:val="0"/>
        <w:numPr>
          <w:ilvl w:val="0"/>
          <w:numId w:val="0"/>
        </w:numPr>
        <w:tabs>
          <w:tab w:val="left" w:pos="539"/>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9. 关联规则挖掘，选自第二模块“数据思维”中的第三章“数据挖掘”</w:t>
      </w:r>
    </w:p>
    <w:p>
      <w:pPr>
        <w:keepNext w:val="0"/>
        <w:keepLines w:val="0"/>
        <w:pageBreakBefore w:val="0"/>
        <w:widowControl w:val="0"/>
        <w:numPr>
          <w:ilvl w:val="0"/>
          <w:numId w:val="0"/>
        </w:numPr>
        <w:tabs>
          <w:tab w:val="left" w:pos="540"/>
        </w:tabs>
        <w:kinsoku/>
        <w:wordWrap/>
        <w:overflowPunct/>
        <w:topLinePunct w:val="0"/>
        <w:autoSpaceDE w:val="0"/>
        <w:autoSpaceDN w:val="0"/>
        <w:bidi w:val="0"/>
        <w:adjustRightInd/>
        <w:snapToGrid/>
        <w:spacing w:before="51"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10. K-Means 算法，选自第二模块“数据思维”中的第四章“聚类算法”</w:t>
      </w:r>
    </w:p>
    <w:p>
      <w:pPr>
        <w:keepNext w:val="0"/>
        <w:keepLines w:val="0"/>
        <w:pageBreakBefore w:val="0"/>
        <w:widowControl w:val="0"/>
        <w:numPr>
          <w:ilvl w:val="0"/>
          <w:numId w:val="0"/>
        </w:numPr>
        <w:tabs>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11. 决策树算法，选自第二模块“数据思维”中的第五章“分类算法”</w:t>
      </w:r>
    </w:p>
    <w:p>
      <w:pPr>
        <w:keepNext w:val="0"/>
        <w:keepLines w:val="0"/>
        <w:pageBreakBefore w:val="0"/>
        <w:widowControl w:val="0"/>
        <w:numPr>
          <w:ilvl w:val="0"/>
          <w:numId w:val="0"/>
        </w:numPr>
        <w:tabs>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12. 多层感知机，选自第三模块“智能思维”中的第一章“机器学习”</w:t>
      </w:r>
    </w:p>
    <w:p>
      <w:pPr>
        <w:keepNext w:val="0"/>
        <w:keepLines w:val="0"/>
        <w:pageBreakBefore w:val="0"/>
        <w:widowControl w:val="0"/>
        <w:numPr>
          <w:ilvl w:val="0"/>
          <w:numId w:val="0"/>
        </w:numPr>
        <w:tabs>
          <w:tab w:val="left" w:pos="540"/>
        </w:tabs>
        <w:kinsoku/>
        <w:wordWrap/>
        <w:overflowPunct/>
        <w:topLinePunct w:val="0"/>
        <w:autoSpaceDE w:val="0"/>
        <w:autoSpaceDN w:val="0"/>
        <w:bidi w:val="0"/>
        <w:adjustRightInd/>
        <w:snapToGrid/>
        <w:spacing w:before="51"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13. 卷积神经网络，选自第三模块 “智能思维”中的第二章“深度学习”</w:t>
      </w:r>
    </w:p>
    <w:p>
      <w:pPr>
        <w:keepNext w:val="0"/>
        <w:keepLines w:val="0"/>
        <w:pageBreakBefore w:val="0"/>
        <w:widowControl w:val="0"/>
        <w:numPr>
          <w:ilvl w:val="0"/>
          <w:numId w:val="0"/>
        </w:numPr>
        <w:tabs>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14. 图像分类，选自第三模块“智能思维”中的第三章“计算机视觉”</w:t>
      </w:r>
    </w:p>
    <w:p>
      <w:pPr>
        <w:keepNext w:val="0"/>
        <w:keepLines w:val="0"/>
        <w:pageBreakBefore w:val="0"/>
        <w:widowControl w:val="0"/>
        <w:numPr>
          <w:ilvl w:val="0"/>
          <w:numId w:val="0"/>
        </w:numPr>
        <w:tabs>
          <w:tab w:val="left" w:pos="540"/>
        </w:tabs>
        <w:kinsoku/>
        <w:wordWrap/>
        <w:overflowPunct/>
        <w:topLinePunct w:val="0"/>
        <w:autoSpaceDE w:val="0"/>
        <w:autoSpaceDN w:val="0"/>
        <w:bidi w:val="0"/>
        <w:adjustRightInd/>
        <w:snapToGrid/>
        <w:spacing w:before="52"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15. 图像目标检测，选自第三模块“智能思维”中的第四章“计算机视觉应用”</w:t>
      </w:r>
    </w:p>
    <w:p>
      <w:pPr>
        <w:keepNext w:val="0"/>
        <w:keepLines w:val="0"/>
        <w:pageBreakBefore w:val="0"/>
        <w:widowControl w:val="0"/>
        <w:numPr>
          <w:ilvl w:val="0"/>
          <w:numId w:val="0"/>
        </w:numPr>
        <w:tabs>
          <w:tab w:val="left" w:pos="540"/>
        </w:tabs>
        <w:kinsoku/>
        <w:wordWrap/>
        <w:overflowPunct/>
        <w:topLinePunct w:val="0"/>
        <w:autoSpaceDE w:val="0"/>
        <w:autoSpaceDN w:val="0"/>
        <w:bidi w:val="0"/>
        <w:adjustRightInd/>
        <w:snapToGrid/>
        <w:spacing w:before="50" w:line="600" w:lineRule="exact"/>
        <w:ind w:left="118" w:leftChars="0" w:firstLine="600" w:firstLineChars="200"/>
        <w:textAlignment w:val="auto"/>
        <w:rPr>
          <w:rFonts w:hint="eastAsia" w:ascii="仿宋_GB2312" w:hAnsi="华文仿宋" w:eastAsia="仿宋_GB2312" w:cs="Times New Roman"/>
          <w:kern w:val="2"/>
          <w:sz w:val="30"/>
          <w:szCs w:val="30"/>
          <w:lang w:val="en-US" w:eastAsia="zh-CN" w:bidi="ar-SA"/>
        </w:rPr>
      </w:pPr>
      <w:r>
        <w:rPr>
          <w:rFonts w:hint="eastAsia" w:ascii="仿宋_GB2312" w:hAnsi="华文仿宋" w:eastAsia="仿宋_GB2312" w:cs="Times New Roman"/>
          <w:kern w:val="2"/>
          <w:sz w:val="30"/>
          <w:szCs w:val="30"/>
          <w:lang w:val="en-US" w:eastAsia="zh-CN" w:bidi="ar-SA"/>
        </w:rPr>
        <w:t>16. 人体姿态估计，选自第三模块“智能思维”中的第四章“计算机视觉应用”</w:t>
      </w:r>
    </w:p>
    <w:p>
      <w:pPr>
        <w:rPr>
          <w:rFonts w:hint="eastAsia" w:ascii="黑体" w:hAnsi="黑体" w:eastAsia="黑体"/>
          <w:kern w:val="0"/>
          <w:sz w:val="30"/>
          <w:szCs w:val="30"/>
        </w:rPr>
      </w:pPr>
      <w:r>
        <w:rPr>
          <w:rFonts w:hint="eastAsia" w:ascii="黑体" w:hAnsi="黑体" w:eastAsia="黑体"/>
          <w:kern w:val="0"/>
          <w:sz w:val="30"/>
          <w:szCs w:val="30"/>
        </w:rPr>
        <w:br w:type="page"/>
      </w:r>
    </w:p>
    <w:p>
      <w:pPr>
        <w:rPr>
          <w:rFonts w:ascii="黑体" w:hAnsi="黑体" w:eastAsia="黑体"/>
          <w:kern w:val="0"/>
          <w:sz w:val="30"/>
          <w:szCs w:val="30"/>
        </w:rPr>
      </w:pPr>
      <w:r>
        <w:rPr>
          <w:rFonts w:hint="eastAsia" w:ascii="黑体" w:hAnsi="黑体" w:eastAsia="黑体"/>
          <w:kern w:val="0"/>
          <w:sz w:val="30"/>
          <w:szCs w:val="30"/>
        </w:rPr>
        <w:t>附件2-2</w:t>
      </w:r>
    </w:p>
    <w:p>
      <w:pPr>
        <w:spacing w:line="440" w:lineRule="exact"/>
        <w:jc w:val="center"/>
        <w:rPr>
          <w:rFonts w:ascii="宋体" w:eastAsia="仿宋_GB2312"/>
          <w:kern w:val="0"/>
          <w:sz w:val="28"/>
          <w:szCs w:val="28"/>
        </w:rPr>
      </w:pPr>
    </w:p>
    <w:p>
      <w:pPr>
        <w:snapToGrid w:val="0"/>
        <w:spacing w:line="560" w:lineRule="exact"/>
        <w:jc w:val="center"/>
        <w:rPr>
          <w:rFonts w:ascii="方正小标宋简体" w:hAnsi="华文中宋" w:eastAsia="华文中宋"/>
          <w:bCs/>
          <w:kern w:val="0"/>
          <w:sz w:val="38"/>
          <w:szCs w:val="38"/>
        </w:rPr>
      </w:pPr>
      <w:r>
        <w:rPr>
          <w:rFonts w:hint="eastAsia" w:ascii="方正小标宋简体" w:hAnsi="华文中宋" w:eastAsia="华文中宋"/>
          <w:bCs/>
          <w:kern w:val="0"/>
          <w:sz w:val="38"/>
          <w:szCs w:val="38"/>
        </w:rPr>
        <w:t>第</w:t>
      </w:r>
      <w:r>
        <w:rPr>
          <w:rFonts w:hint="eastAsia" w:ascii="华文中宋" w:hAnsi="华文中宋" w:eastAsia="华文中宋" w:cs="华文中宋"/>
          <w:bCs/>
          <w:kern w:val="0"/>
          <w:sz w:val="38"/>
          <w:szCs w:val="38"/>
        </w:rPr>
        <w:t>六</w:t>
      </w:r>
      <w:r>
        <w:rPr>
          <w:rFonts w:hint="eastAsia" w:ascii="方正小标宋简体" w:hAnsi="华文中宋" w:eastAsia="华文中宋"/>
          <w:bCs/>
          <w:kern w:val="0"/>
          <w:sz w:val="38"/>
          <w:szCs w:val="38"/>
        </w:rPr>
        <w:t>届上海高校青年教师教学竞赛</w:t>
      </w:r>
    </w:p>
    <w:p>
      <w:pPr>
        <w:snapToGrid w:val="0"/>
        <w:spacing w:line="560" w:lineRule="exact"/>
        <w:jc w:val="center"/>
        <w:rPr>
          <w:rFonts w:ascii="方正小标宋简体" w:hAnsi="华文中宋" w:eastAsia="方正小标宋简体"/>
          <w:bCs/>
          <w:kern w:val="0"/>
          <w:sz w:val="38"/>
          <w:szCs w:val="38"/>
        </w:rPr>
      </w:pPr>
      <w:r>
        <w:rPr>
          <w:rFonts w:hint="eastAsia" w:ascii="方正小标宋简体" w:hAnsi="华文中宋" w:eastAsia="华文中宋"/>
          <w:bCs/>
          <w:kern w:val="0"/>
          <w:sz w:val="38"/>
          <w:szCs w:val="38"/>
        </w:rPr>
        <w:t>教学设计评分细则</w:t>
      </w:r>
    </w:p>
    <w:p>
      <w:pPr>
        <w:widowControl/>
        <w:spacing w:line="440" w:lineRule="exact"/>
        <w:rPr>
          <w:rFonts w:ascii="仿宋_GB2312" w:hAnsi="宋体" w:eastAsia="仿宋_GB2312"/>
          <w:kern w:val="0"/>
          <w:sz w:val="28"/>
          <w:szCs w:val="28"/>
        </w:rPr>
      </w:pPr>
    </w:p>
    <w:p>
      <w:pPr>
        <w:widowControl/>
        <w:spacing w:line="400" w:lineRule="atLeast"/>
        <w:rPr>
          <w:rFonts w:ascii="仿宋_GB2312" w:eastAsia="仿宋_GB2312"/>
          <w:kern w:val="0"/>
          <w:sz w:val="28"/>
          <w:szCs w:val="28"/>
          <w:u w:val="single"/>
        </w:rPr>
      </w:pPr>
    </w:p>
    <w:tbl>
      <w:tblPr>
        <w:tblStyle w:val="5"/>
        <w:tblW w:w="0" w:type="auto"/>
        <w:jc w:val="center"/>
        <w:tblLayout w:type="fixed"/>
        <w:tblCellMar>
          <w:top w:w="0" w:type="dxa"/>
          <w:left w:w="108" w:type="dxa"/>
          <w:bottom w:w="0" w:type="dxa"/>
          <w:right w:w="108" w:type="dxa"/>
        </w:tblCellMar>
      </w:tblPr>
      <w:tblGrid>
        <w:gridCol w:w="1194"/>
        <w:gridCol w:w="5670"/>
        <w:gridCol w:w="993"/>
        <w:gridCol w:w="993"/>
      </w:tblGrid>
      <w:tr>
        <w:tblPrEx>
          <w:tblCellMar>
            <w:top w:w="0" w:type="dxa"/>
            <w:left w:w="108" w:type="dxa"/>
            <w:bottom w:w="0" w:type="dxa"/>
            <w:right w:w="108" w:type="dxa"/>
          </w:tblCellMar>
        </w:tblPrEx>
        <w:trPr>
          <w:trHeight w:val="854" w:hRule="atLeast"/>
          <w:jc w:val="center"/>
        </w:trPr>
        <w:tc>
          <w:tcPr>
            <w:tcW w:w="119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黑体" w:eastAsia="黑体"/>
                <w:kern w:val="0"/>
                <w:sz w:val="28"/>
                <w:szCs w:val="28"/>
              </w:rPr>
            </w:pPr>
            <w:r>
              <w:rPr>
                <w:rFonts w:hint="eastAsia" w:ascii="黑体" w:hAnsi="宋体" w:eastAsia="黑体"/>
                <w:kern w:val="0"/>
                <w:sz w:val="28"/>
                <w:szCs w:val="28"/>
              </w:rPr>
              <w:t>项目</w:t>
            </w:r>
          </w:p>
        </w:tc>
        <w:tc>
          <w:tcPr>
            <w:tcW w:w="5670"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eastAsia="黑体"/>
                <w:kern w:val="0"/>
                <w:sz w:val="28"/>
                <w:szCs w:val="28"/>
              </w:rPr>
            </w:pPr>
            <w:r>
              <w:rPr>
                <w:rFonts w:hint="eastAsia" w:ascii="黑体" w:hAnsi="宋体" w:eastAsia="黑体"/>
                <w:kern w:val="0"/>
                <w:sz w:val="28"/>
                <w:szCs w:val="28"/>
              </w:rPr>
              <w:t>评测要求</w:t>
            </w:r>
          </w:p>
        </w:tc>
        <w:tc>
          <w:tcPr>
            <w:tcW w:w="993"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hAnsi="宋体" w:eastAsia="黑体"/>
                <w:kern w:val="0"/>
                <w:sz w:val="28"/>
                <w:szCs w:val="28"/>
              </w:rPr>
            </w:pPr>
            <w:r>
              <w:rPr>
                <w:rFonts w:hint="eastAsia" w:ascii="黑体" w:hAnsi="宋体" w:eastAsia="黑体"/>
                <w:kern w:val="0"/>
                <w:sz w:val="28"/>
                <w:szCs w:val="28"/>
              </w:rPr>
              <w:t>分值</w:t>
            </w:r>
          </w:p>
          <w:p>
            <w:pPr>
              <w:spacing w:line="480" w:lineRule="exact"/>
              <w:jc w:val="center"/>
              <w:rPr>
                <w:rFonts w:ascii="黑体" w:eastAsia="黑体"/>
                <w:kern w:val="0"/>
                <w:sz w:val="28"/>
                <w:szCs w:val="28"/>
              </w:rPr>
            </w:pPr>
            <w:r>
              <w:rPr>
                <w:rFonts w:hint="eastAsia" w:ascii="黑体" w:hAnsi="宋体" w:eastAsia="黑体"/>
                <w:kern w:val="0"/>
                <w:sz w:val="28"/>
                <w:szCs w:val="28"/>
              </w:rPr>
              <w:t>（20）</w:t>
            </w:r>
          </w:p>
        </w:tc>
        <w:tc>
          <w:tcPr>
            <w:tcW w:w="993"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eastAsia="黑体"/>
                <w:kern w:val="0"/>
                <w:sz w:val="28"/>
                <w:szCs w:val="28"/>
              </w:rPr>
            </w:pPr>
            <w:r>
              <w:rPr>
                <w:rFonts w:hint="eastAsia" w:ascii="黑体" w:hAnsi="宋体" w:eastAsia="黑体"/>
                <w:kern w:val="0"/>
                <w:sz w:val="28"/>
                <w:szCs w:val="28"/>
              </w:rPr>
              <w:t>得分</w:t>
            </w:r>
          </w:p>
        </w:tc>
      </w:tr>
      <w:tr>
        <w:tblPrEx>
          <w:tblCellMar>
            <w:top w:w="0" w:type="dxa"/>
            <w:left w:w="108" w:type="dxa"/>
            <w:bottom w:w="0" w:type="dxa"/>
            <w:right w:w="108" w:type="dxa"/>
          </w:tblCellMar>
        </w:tblPrEx>
        <w:trPr>
          <w:trHeight w:val="991" w:hRule="exact"/>
          <w:jc w:val="center"/>
        </w:trPr>
        <w:tc>
          <w:tcPr>
            <w:tcW w:w="1194" w:type="dxa"/>
            <w:vMerge w:val="restart"/>
            <w:tcBorders>
              <w:top w:val="nil"/>
              <w:left w:val="single" w:color="000000" w:sz="4" w:space="0"/>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教学       设计</w:t>
            </w:r>
          </w:p>
          <w:p>
            <w:pPr>
              <w:spacing w:line="480" w:lineRule="exact"/>
              <w:jc w:val="center"/>
              <w:rPr>
                <w:rFonts w:ascii="仿宋_GB2312" w:hAnsi="宋体" w:eastAsia="仿宋_GB2312"/>
                <w:kern w:val="0"/>
                <w:sz w:val="28"/>
                <w:szCs w:val="28"/>
              </w:rPr>
            </w:pPr>
            <w:r>
              <w:rPr>
                <w:rFonts w:hint="eastAsia" w:ascii="仿宋_GB2312" w:hAnsi="宋体" w:eastAsia="仿宋_GB2312"/>
                <w:kern w:val="0"/>
                <w:sz w:val="28"/>
                <w:szCs w:val="28"/>
              </w:rPr>
              <w:t>方案</w:t>
            </w:r>
          </w:p>
          <w:p>
            <w:pPr>
              <w:spacing w:line="480" w:lineRule="exact"/>
              <w:jc w:val="center"/>
              <w:rPr>
                <w:rFonts w:ascii="仿宋_GB2312" w:eastAsia="仿宋_GB2312"/>
                <w:kern w:val="0"/>
                <w:sz w:val="28"/>
                <w:szCs w:val="28"/>
              </w:rPr>
            </w:pPr>
            <w:r>
              <w:rPr>
                <w:rFonts w:hint="eastAsia" w:ascii="仿宋_GB2312" w:hAnsi="宋体" w:eastAsia="仿宋_GB2312"/>
                <w:kern w:val="0"/>
                <w:sz w:val="24"/>
              </w:rPr>
              <w:t>（20分）</w:t>
            </w:r>
            <w:r>
              <w:rPr>
                <w:rFonts w:hint="eastAsia" w:ascii="仿宋_GB2312" w:hAnsi="宋体" w:eastAsia="仿宋_GB2312"/>
                <w:kern w:val="0"/>
                <w:sz w:val="28"/>
                <w:szCs w:val="28"/>
              </w:rPr>
              <w:t xml:space="preserve">     </w:t>
            </w: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紧密围绕立德树人根本任务，体现课程思政要求。</w:t>
            </w:r>
          </w:p>
        </w:tc>
        <w:tc>
          <w:tcPr>
            <w:tcW w:w="993"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eastAsia="仿宋_GB2312"/>
                <w:kern w:val="0"/>
                <w:sz w:val="28"/>
                <w:szCs w:val="28"/>
              </w:rPr>
              <w:t>2</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　</w:t>
            </w: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spacing w:line="480" w:lineRule="exact"/>
              <w:jc w:val="center"/>
              <w:rPr>
                <w:rFonts w:ascii="仿宋_GB2312" w:hAnsi="宋体" w:eastAsia="仿宋_GB2312"/>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符合教学大纲，内容充实，反映学科前沿。</w:t>
            </w:r>
          </w:p>
        </w:tc>
        <w:tc>
          <w:tcPr>
            <w:tcW w:w="993"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eastAsia="仿宋_GB2312"/>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教学目标明确、思路清晰。</w:t>
            </w:r>
          </w:p>
        </w:tc>
        <w:tc>
          <w:tcPr>
            <w:tcW w:w="993"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　</w:t>
            </w: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准确把握课程的重点和难点，针对性强。</w:t>
            </w:r>
          </w:p>
        </w:tc>
        <w:tc>
          <w:tcPr>
            <w:tcW w:w="993"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5670"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教学进程组织合理，方法手段运用恰当有效。</w:t>
            </w:r>
          </w:p>
        </w:tc>
        <w:tc>
          <w:tcPr>
            <w:tcW w:w="993"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8"/>
                <w:szCs w:val="28"/>
              </w:rPr>
            </w:pPr>
          </w:p>
        </w:tc>
        <w:tc>
          <w:tcPr>
            <w:tcW w:w="5670"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r>
              <w:rPr>
                <w:rFonts w:hint="eastAsia" w:ascii="仿宋_GB2312" w:hAnsi="宋体" w:eastAsia="仿宋_GB2312"/>
                <w:kern w:val="0"/>
                <w:sz w:val="28"/>
                <w:szCs w:val="28"/>
              </w:rPr>
              <w:t>文字表达准确、简洁，阐述清楚。</w:t>
            </w:r>
          </w:p>
        </w:tc>
        <w:tc>
          <w:tcPr>
            <w:tcW w:w="993" w:type="dxa"/>
            <w:tcBorders>
              <w:top w:val="nil"/>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2</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r>
        <w:tblPrEx>
          <w:tblCellMar>
            <w:top w:w="0" w:type="dxa"/>
            <w:left w:w="108" w:type="dxa"/>
            <w:bottom w:w="0" w:type="dxa"/>
            <w:right w:w="108" w:type="dxa"/>
          </w:tblCellMar>
        </w:tblPrEx>
        <w:trPr>
          <w:trHeight w:val="1499" w:hRule="atLeast"/>
          <w:jc w:val="center"/>
        </w:trPr>
        <w:tc>
          <w:tcPr>
            <w:tcW w:w="119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评委</w:t>
            </w:r>
          </w:p>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签名</w:t>
            </w:r>
          </w:p>
        </w:tc>
        <w:tc>
          <w:tcPr>
            <w:tcW w:w="5670"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eastAsia="仿宋_GB2312"/>
                <w:kern w:val="0"/>
                <w:sz w:val="28"/>
                <w:szCs w:val="28"/>
              </w:rPr>
            </w:pPr>
          </w:p>
        </w:tc>
        <w:tc>
          <w:tcPr>
            <w:tcW w:w="993"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宋体" w:eastAsia="仿宋_GB2312"/>
                <w:kern w:val="0"/>
                <w:sz w:val="28"/>
                <w:szCs w:val="28"/>
              </w:rPr>
            </w:pPr>
            <w:r>
              <w:rPr>
                <w:rFonts w:hint="eastAsia" w:ascii="仿宋_GB2312" w:hAnsi="宋体" w:eastAsia="仿宋_GB2312"/>
                <w:kern w:val="0"/>
                <w:sz w:val="28"/>
                <w:szCs w:val="28"/>
              </w:rPr>
              <w:t>合计</w:t>
            </w:r>
          </w:p>
          <w:p>
            <w:pPr>
              <w:spacing w:line="480" w:lineRule="exact"/>
              <w:jc w:val="center"/>
              <w:rPr>
                <w:rFonts w:ascii="仿宋_GB2312" w:eastAsia="仿宋_GB2312"/>
                <w:kern w:val="0"/>
                <w:sz w:val="28"/>
                <w:szCs w:val="28"/>
              </w:rPr>
            </w:pPr>
            <w:r>
              <w:rPr>
                <w:rFonts w:hint="eastAsia" w:ascii="仿宋_GB2312" w:hAnsi="宋体" w:eastAsia="仿宋_GB2312"/>
                <w:kern w:val="0"/>
                <w:sz w:val="28"/>
                <w:szCs w:val="28"/>
              </w:rPr>
              <w:t>得分</w:t>
            </w:r>
          </w:p>
        </w:tc>
        <w:tc>
          <w:tcPr>
            <w:tcW w:w="993"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_GB2312" w:eastAsia="仿宋_GB2312"/>
                <w:kern w:val="0"/>
                <w:sz w:val="28"/>
                <w:szCs w:val="28"/>
              </w:rPr>
            </w:pPr>
          </w:p>
        </w:tc>
      </w:tr>
    </w:tbl>
    <w:p>
      <w:pPr>
        <w:spacing w:line="540" w:lineRule="exact"/>
        <w:rPr>
          <w:rFonts w:ascii="方正小标宋简体" w:eastAsia="方正小标宋简体"/>
          <w:sz w:val="30"/>
          <w:szCs w:val="30"/>
        </w:rPr>
      </w:pPr>
      <w:r>
        <w:rPr>
          <w:rFonts w:hint="eastAsia" w:ascii="黑体" w:hAnsi="宋体" w:eastAsia="黑体" w:cs="宋体"/>
          <w:bCs/>
          <w:kern w:val="0"/>
          <w:sz w:val="28"/>
          <w:szCs w:val="28"/>
        </w:rPr>
        <w:t>注：</w:t>
      </w:r>
      <w:r>
        <w:rPr>
          <w:rFonts w:hint="eastAsia" w:ascii="楷体_GB2312" w:hAnsi="宋体" w:eastAsia="楷体_GB2312" w:cs="宋体"/>
          <w:bCs/>
          <w:kern w:val="0"/>
          <w:sz w:val="28"/>
          <w:szCs w:val="28"/>
        </w:rPr>
        <w:t>评委评分可保留小数点后两位。</w:t>
      </w:r>
    </w:p>
    <w:p>
      <w:pPr>
        <w:spacing w:line="540" w:lineRule="exact"/>
        <w:rPr>
          <w:rFonts w:ascii="方正小标宋简体" w:eastAsia="方正小标宋简体"/>
          <w:sz w:val="30"/>
          <w:szCs w:val="30"/>
        </w:rPr>
      </w:pPr>
    </w:p>
    <w:p>
      <w:pPr>
        <w:spacing w:line="900" w:lineRule="exact"/>
        <w:ind w:firstLine="600" w:firstLineChars="200"/>
        <w:rPr>
          <w:rFonts w:ascii="方正小标宋简体" w:eastAsia="方正小标宋简体"/>
          <w:sz w:val="30"/>
          <w:szCs w:val="30"/>
        </w:rPr>
      </w:pPr>
    </w:p>
    <w:p>
      <w:pPr>
        <w:rPr>
          <w:rFonts w:ascii="黑体" w:hAnsi="黑体" w:eastAsia="黑体"/>
          <w:kern w:val="0"/>
          <w:sz w:val="28"/>
          <w:szCs w:val="28"/>
        </w:rPr>
        <w:sectPr>
          <w:footerReference r:id="rId3" w:type="default"/>
          <w:pgSz w:w="11906" w:h="16838"/>
          <w:pgMar w:top="1713" w:right="1588" w:bottom="1713" w:left="1588" w:header="851" w:footer="902" w:gutter="0"/>
          <w:pgNumType w:fmt="numberInDash"/>
          <w:cols w:space="720" w:num="1"/>
          <w:docGrid w:type="lines" w:linePitch="312" w:charSpace="0"/>
        </w:sectPr>
      </w:pPr>
    </w:p>
    <w:p>
      <w:pPr>
        <w:rPr>
          <w:rFonts w:ascii="黑体" w:hAnsi="黑体" w:eastAsia="黑体"/>
          <w:kern w:val="0"/>
          <w:sz w:val="28"/>
          <w:szCs w:val="28"/>
        </w:rPr>
      </w:pPr>
      <w:r>
        <w:rPr>
          <w:rFonts w:hint="eastAsia" w:ascii="黑体" w:hAnsi="黑体" w:eastAsia="黑体"/>
          <w:kern w:val="0"/>
          <w:sz w:val="28"/>
          <w:szCs w:val="28"/>
        </w:rPr>
        <w:t>附件2-3</w:t>
      </w:r>
    </w:p>
    <w:p>
      <w:pPr>
        <w:spacing w:line="440" w:lineRule="exact"/>
        <w:rPr>
          <w:rFonts w:ascii="方正小标宋简体" w:eastAsia="方正小标宋简体"/>
          <w:kern w:val="0"/>
          <w:sz w:val="38"/>
          <w:szCs w:val="38"/>
        </w:rPr>
      </w:pPr>
    </w:p>
    <w:p>
      <w:pPr>
        <w:snapToGrid w:val="0"/>
        <w:spacing w:line="560" w:lineRule="exact"/>
        <w:jc w:val="center"/>
        <w:rPr>
          <w:rFonts w:ascii="方正小标宋简体" w:hAnsi="华文中宋" w:eastAsia="华文中宋"/>
          <w:bCs/>
          <w:kern w:val="0"/>
          <w:sz w:val="38"/>
          <w:szCs w:val="38"/>
        </w:rPr>
      </w:pPr>
      <w:r>
        <w:rPr>
          <w:rFonts w:hint="eastAsia" w:ascii="方正小标宋简体" w:hAnsi="华文中宋" w:eastAsia="华文中宋"/>
          <w:bCs/>
          <w:kern w:val="0"/>
          <w:sz w:val="38"/>
          <w:szCs w:val="38"/>
        </w:rPr>
        <w:t>第</w:t>
      </w:r>
      <w:r>
        <w:rPr>
          <w:rFonts w:hint="eastAsia" w:ascii="华文中宋" w:hAnsi="华文中宋" w:eastAsia="华文中宋" w:cs="华文中宋"/>
          <w:bCs/>
          <w:kern w:val="0"/>
          <w:sz w:val="38"/>
          <w:szCs w:val="38"/>
        </w:rPr>
        <w:t>六</w:t>
      </w:r>
      <w:r>
        <w:rPr>
          <w:rFonts w:hint="eastAsia" w:ascii="方正小标宋简体" w:hAnsi="华文中宋" w:eastAsia="华文中宋"/>
          <w:bCs/>
          <w:kern w:val="0"/>
          <w:sz w:val="38"/>
          <w:szCs w:val="38"/>
        </w:rPr>
        <w:t>届上海高校青年教师教学竞赛</w:t>
      </w:r>
    </w:p>
    <w:p>
      <w:pPr>
        <w:snapToGrid w:val="0"/>
        <w:spacing w:line="560" w:lineRule="exact"/>
        <w:jc w:val="center"/>
        <w:rPr>
          <w:rFonts w:ascii="方正小标宋简体" w:hAnsi="华文中宋" w:eastAsia="方正小标宋简体"/>
          <w:bCs/>
          <w:kern w:val="0"/>
          <w:sz w:val="38"/>
          <w:szCs w:val="38"/>
        </w:rPr>
      </w:pPr>
      <w:r>
        <w:rPr>
          <w:rFonts w:hint="eastAsia" w:ascii="方正小标宋简体" w:hAnsi="华文中宋" w:eastAsia="华文中宋"/>
          <w:bCs/>
          <w:kern w:val="0"/>
          <w:sz w:val="38"/>
          <w:szCs w:val="38"/>
        </w:rPr>
        <w:t>课堂教学评分细则</w:t>
      </w:r>
    </w:p>
    <w:p>
      <w:pPr>
        <w:widowControl/>
        <w:spacing w:line="440" w:lineRule="exact"/>
        <w:rPr>
          <w:rFonts w:ascii="仿宋_GB2312" w:hAnsi="宋体" w:eastAsia="仿宋_GB2312"/>
          <w:kern w:val="0"/>
          <w:sz w:val="28"/>
          <w:szCs w:val="28"/>
        </w:rPr>
      </w:pPr>
    </w:p>
    <w:p>
      <w:pPr>
        <w:widowControl/>
        <w:spacing w:line="400" w:lineRule="atLeast"/>
        <w:rPr>
          <w:rFonts w:ascii="黑体" w:hAnsi="宋体" w:eastAsia="黑体"/>
          <w:kern w:val="0"/>
          <w:sz w:val="24"/>
        </w:rPr>
      </w:pPr>
    </w:p>
    <w:tbl>
      <w:tblPr>
        <w:tblStyle w:val="5"/>
        <w:tblW w:w="9074" w:type="dxa"/>
        <w:jc w:val="center"/>
        <w:tblLayout w:type="fixed"/>
        <w:tblCellMar>
          <w:top w:w="0" w:type="dxa"/>
          <w:left w:w="108" w:type="dxa"/>
          <w:bottom w:w="0" w:type="dxa"/>
          <w:right w:w="108" w:type="dxa"/>
        </w:tblCellMar>
      </w:tblPr>
      <w:tblGrid>
        <w:gridCol w:w="1165"/>
        <w:gridCol w:w="1134"/>
        <w:gridCol w:w="5072"/>
        <w:gridCol w:w="851"/>
        <w:gridCol w:w="852"/>
      </w:tblGrid>
      <w:tr>
        <w:tblPrEx>
          <w:tblCellMar>
            <w:top w:w="0" w:type="dxa"/>
            <w:left w:w="108" w:type="dxa"/>
            <w:bottom w:w="0" w:type="dxa"/>
            <w:right w:w="108" w:type="dxa"/>
          </w:tblCellMar>
        </w:tblPrEx>
        <w:trPr>
          <w:trHeight w:val="794" w:hRule="atLeast"/>
          <w:jc w:val="center"/>
        </w:trPr>
        <w:tc>
          <w:tcPr>
            <w:tcW w:w="116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黑体" w:eastAsia="黑体"/>
                <w:kern w:val="0"/>
                <w:sz w:val="24"/>
              </w:rPr>
            </w:pPr>
            <w:r>
              <w:rPr>
                <w:rFonts w:hint="eastAsia" w:ascii="黑体" w:hAnsi="宋体" w:eastAsia="黑体"/>
                <w:kern w:val="0"/>
                <w:sz w:val="24"/>
              </w:rPr>
              <w:t>项目</w:t>
            </w:r>
          </w:p>
        </w:tc>
        <w:tc>
          <w:tcPr>
            <w:tcW w:w="6206" w:type="dxa"/>
            <w:gridSpan w:val="2"/>
            <w:tcBorders>
              <w:top w:val="single" w:color="000000" w:sz="4" w:space="0"/>
              <w:left w:val="nil"/>
              <w:bottom w:val="single" w:color="000000" w:sz="4" w:space="0"/>
              <w:right w:val="single" w:color="000000" w:sz="4" w:space="0"/>
            </w:tcBorders>
            <w:vAlign w:val="center"/>
          </w:tcPr>
          <w:p>
            <w:pPr>
              <w:spacing w:line="300" w:lineRule="exact"/>
              <w:jc w:val="center"/>
              <w:rPr>
                <w:rFonts w:ascii="黑体" w:eastAsia="黑体"/>
                <w:kern w:val="0"/>
                <w:sz w:val="24"/>
              </w:rPr>
            </w:pPr>
            <w:r>
              <w:rPr>
                <w:rFonts w:hint="eastAsia" w:ascii="黑体" w:hAnsi="宋体" w:eastAsia="黑体"/>
                <w:kern w:val="0"/>
                <w:sz w:val="24"/>
              </w:rPr>
              <w:t>评测要求</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宋体" w:eastAsia="黑体"/>
                <w:kern w:val="0"/>
                <w:sz w:val="24"/>
              </w:rPr>
            </w:pPr>
            <w:r>
              <w:rPr>
                <w:rFonts w:hint="eastAsia" w:ascii="黑体" w:hAnsi="宋体" w:eastAsia="黑体"/>
                <w:kern w:val="0"/>
                <w:sz w:val="24"/>
              </w:rPr>
              <w:t>分值</w:t>
            </w:r>
          </w:p>
          <w:p>
            <w:pPr>
              <w:spacing w:line="300" w:lineRule="exact"/>
              <w:jc w:val="center"/>
              <w:rPr>
                <w:rFonts w:ascii="黑体" w:eastAsia="黑体"/>
                <w:kern w:val="0"/>
                <w:sz w:val="24"/>
              </w:rPr>
            </w:pPr>
            <w:r>
              <w:rPr>
                <w:rFonts w:hint="eastAsia" w:ascii="黑体" w:hAnsi="宋体" w:eastAsia="黑体"/>
                <w:kern w:val="0"/>
                <w:sz w:val="24"/>
              </w:rPr>
              <w:t>（75）</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eastAsia="黑体"/>
                <w:kern w:val="0"/>
                <w:sz w:val="24"/>
              </w:rPr>
            </w:pPr>
            <w:r>
              <w:rPr>
                <w:rFonts w:hint="eastAsia" w:ascii="黑体" w:hAnsi="宋体" w:eastAsia="黑体"/>
                <w:kern w:val="0"/>
                <w:sz w:val="24"/>
              </w:rPr>
              <w:t xml:space="preserve">得分 </w:t>
            </w:r>
          </w:p>
        </w:tc>
      </w:tr>
      <w:tr>
        <w:tblPrEx>
          <w:tblCellMar>
            <w:top w:w="0" w:type="dxa"/>
            <w:left w:w="108" w:type="dxa"/>
            <w:bottom w:w="0" w:type="dxa"/>
            <w:right w:w="108" w:type="dxa"/>
          </w:tblCellMar>
        </w:tblPrEx>
        <w:trPr>
          <w:trHeight w:val="425" w:hRule="atLeast"/>
          <w:jc w:val="center"/>
        </w:trPr>
        <w:tc>
          <w:tcPr>
            <w:tcW w:w="1165" w:type="dxa"/>
            <w:vMerge w:val="restart"/>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hAnsi="宋体" w:eastAsia="仿宋_GB2312"/>
                <w:kern w:val="0"/>
                <w:sz w:val="28"/>
                <w:szCs w:val="28"/>
              </w:rPr>
            </w:pPr>
            <w:r>
              <w:rPr>
                <w:rFonts w:hint="eastAsia" w:ascii="仿宋_GB2312" w:hAnsi="宋体" w:eastAsia="仿宋_GB2312"/>
                <w:kern w:val="0"/>
                <w:sz w:val="28"/>
                <w:szCs w:val="28"/>
              </w:rPr>
              <w:t>课堂</w:t>
            </w:r>
          </w:p>
          <w:p>
            <w:pPr>
              <w:spacing w:line="300" w:lineRule="exact"/>
              <w:jc w:val="center"/>
              <w:rPr>
                <w:rFonts w:ascii="仿宋_GB2312" w:hAnsi="宋体" w:eastAsia="仿宋_GB2312"/>
                <w:kern w:val="0"/>
                <w:sz w:val="28"/>
                <w:szCs w:val="28"/>
              </w:rPr>
            </w:pPr>
            <w:r>
              <w:rPr>
                <w:rFonts w:hint="eastAsia" w:ascii="仿宋_GB2312" w:hAnsi="宋体" w:eastAsia="仿宋_GB2312"/>
                <w:kern w:val="0"/>
                <w:sz w:val="28"/>
                <w:szCs w:val="28"/>
              </w:rPr>
              <w:t>教学</w:t>
            </w:r>
          </w:p>
          <w:p>
            <w:pPr>
              <w:spacing w:line="300" w:lineRule="exact"/>
              <w:jc w:val="center"/>
              <w:rPr>
                <w:rFonts w:ascii="仿宋_GB2312" w:eastAsia="仿宋_GB2312"/>
                <w:kern w:val="0"/>
                <w:sz w:val="24"/>
              </w:rPr>
            </w:pPr>
            <w:r>
              <w:rPr>
                <w:rFonts w:hint="eastAsia" w:ascii="仿宋_GB2312" w:hAnsi="宋体" w:eastAsia="仿宋_GB2312"/>
                <w:kern w:val="0"/>
                <w:sz w:val="24"/>
              </w:rPr>
              <w:t>（75分）</w:t>
            </w:r>
          </w:p>
        </w:tc>
        <w:tc>
          <w:tcPr>
            <w:tcW w:w="1134"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教学</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内容</w:t>
            </w:r>
          </w:p>
          <w:p>
            <w:pPr>
              <w:spacing w:line="300" w:lineRule="exact"/>
              <w:jc w:val="center"/>
              <w:rPr>
                <w:rFonts w:ascii="仿宋_GB2312" w:eastAsia="仿宋_GB2312"/>
                <w:kern w:val="0"/>
                <w:sz w:val="24"/>
              </w:rPr>
            </w:pPr>
            <w:r>
              <w:rPr>
                <w:rFonts w:hint="eastAsia" w:ascii="仿宋_GB2312" w:hAnsi="宋体" w:eastAsia="仿宋_GB2312"/>
                <w:kern w:val="0"/>
                <w:sz w:val="24"/>
              </w:rPr>
              <w:t>（30分）</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贯彻立德树人的具体要求，突出课程思政。</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6</w:t>
            </w:r>
          </w:p>
        </w:tc>
        <w:tc>
          <w:tcPr>
            <w:tcW w:w="852" w:type="dxa"/>
            <w:vMerge w:val="restart"/>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p>
            <w:pPr>
              <w:spacing w:line="300" w:lineRule="exact"/>
              <w:jc w:val="left"/>
              <w:rPr>
                <w:rFonts w:ascii="仿宋_GB2312" w:eastAsia="仿宋_GB2312"/>
                <w:kern w:val="0"/>
                <w:sz w:val="24"/>
              </w:rPr>
            </w:pPr>
          </w:p>
          <w:p>
            <w:pPr>
              <w:spacing w:line="300" w:lineRule="exact"/>
              <w:jc w:val="left"/>
              <w:rPr>
                <w:rFonts w:ascii="仿宋_GB2312" w:eastAsia="仿宋_GB2312"/>
                <w:kern w:val="0"/>
                <w:sz w:val="24"/>
              </w:rPr>
            </w:pPr>
            <w:r>
              <w:rPr>
                <w:rFonts w:hint="eastAsia" w:ascii="仿宋_GB2312" w:hAnsi="宋体" w:eastAsia="仿宋_GB2312"/>
                <w:kern w:val="0"/>
                <w:sz w:val="24"/>
              </w:rPr>
              <w:t>　</w:t>
            </w: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hAnsi="宋体" w:eastAsia="仿宋_GB2312"/>
                <w:kern w:val="0"/>
                <w:sz w:val="28"/>
                <w:szCs w:val="28"/>
              </w:rPr>
            </w:pPr>
          </w:p>
        </w:tc>
        <w:tc>
          <w:tcPr>
            <w:tcW w:w="1134" w:type="dxa"/>
            <w:vMerge w:val="continue"/>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理论联系实际，符合学生的特点。</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6</w:t>
            </w:r>
          </w:p>
        </w:tc>
        <w:tc>
          <w:tcPr>
            <w:tcW w:w="852" w:type="dxa"/>
            <w:vMerge w:val="continue"/>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CellMar>
            <w:top w:w="0" w:type="dxa"/>
            <w:left w:w="108" w:type="dxa"/>
            <w:bottom w:w="0" w:type="dxa"/>
            <w:right w:w="108" w:type="dxa"/>
          </w:tblCellMar>
        </w:tblPrEx>
        <w:trPr>
          <w:trHeight w:val="398"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注重学术性，内容充实，信息量充分，渗透专业思想，为教学目标服务。</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6</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反映或联系学科发展新思想、新概念、新成果。</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3</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spacing w:val="-16"/>
                <w:kern w:val="0"/>
                <w:sz w:val="24"/>
              </w:rPr>
            </w:pPr>
            <w:r>
              <w:rPr>
                <w:rFonts w:hint="eastAsia" w:ascii="仿宋_GB2312" w:hAnsi="宋体" w:eastAsia="仿宋_GB2312"/>
                <w:spacing w:val="-16"/>
                <w:kern w:val="0"/>
                <w:sz w:val="24"/>
              </w:rPr>
              <w:t>重点突出，条理清楚，内容承前启后，循序渐进。</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9</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CellMar>
            <w:top w:w="0" w:type="dxa"/>
            <w:left w:w="108" w:type="dxa"/>
            <w:bottom w:w="0" w:type="dxa"/>
            <w:right w:w="108" w:type="dxa"/>
          </w:tblCellMar>
        </w:tblPrEx>
        <w:trPr>
          <w:trHeight w:val="68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教学</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组织</w:t>
            </w:r>
          </w:p>
          <w:p>
            <w:pPr>
              <w:spacing w:line="300" w:lineRule="exact"/>
              <w:jc w:val="center"/>
              <w:rPr>
                <w:rFonts w:ascii="仿宋_GB2312" w:eastAsia="仿宋_GB2312"/>
                <w:kern w:val="0"/>
                <w:sz w:val="24"/>
              </w:rPr>
            </w:pPr>
            <w:r>
              <w:rPr>
                <w:rFonts w:hint="eastAsia" w:ascii="仿宋_GB2312" w:hAnsi="宋体" w:eastAsia="仿宋_GB2312"/>
                <w:kern w:val="0"/>
                <w:sz w:val="24"/>
              </w:rPr>
              <w:t>（30分）</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教学过程安排合理，方法运用灵活、恰当，教学设计方案体现完整。</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10</w:t>
            </w:r>
          </w:p>
        </w:tc>
        <w:tc>
          <w:tcPr>
            <w:tcW w:w="852" w:type="dxa"/>
            <w:vMerge w:val="restart"/>
            <w:tcBorders>
              <w:top w:val="nil"/>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r>
              <w:rPr>
                <w:rFonts w:hint="eastAsia" w:ascii="仿宋_GB2312" w:hAnsi="宋体" w:eastAsia="仿宋_GB2312"/>
                <w:kern w:val="0"/>
                <w:sz w:val="24"/>
              </w:rPr>
              <w:t>　</w:t>
            </w:r>
          </w:p>
          <w:p>
            <w:pPr>
              <w:spacing w:line="300" w:lineRule="exact"/>
              <w:jc w:val="left"/>
              <w:rPr>
                <w:rFonts w:ascii="仿宋_GB2312" w:eastAsia="仿宋_GB2312"/>
                <w:kern w:val="0"/>
                <w:sz w:val="24"/>
              </w:rPr>
            </w:pPr>
            <w:r>
              <w:rPr>
                <w:rFonts w:hint="eastAsia" w:ascii="仿宋_GB2312" w:hAnsi="宋体" w:eastAsia="仿宋_GB2312"/>
                <w:kern w:val="0"/>
                <w:sz w:val="24"/>
              </w:rPr>
              <w:t>　</w:t>
            </w:r>
          </w:p>
        </w:tc>
      </w:tr>
      <w:tr>
        <w:tblPrEx>
          <w:tblCellMar>
            <w:top w:w="0" w:type="dxa"/>
            <w:left w:w="108" w:type="dxa"/>
            <w:bottom w:w="0" w:type="dxa"/>
            <w:right w:w="108" w:type="dxa"/>
          </w:tblCellMar>
        </w:tblPrEx>
        <w:trPr>
          <w:trHeight w:val="41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启发性强，能有效调动学生思维和学习积极性。</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10</w:t>
            </w:r>
          </w:p>
        </w:tc>
        <w:tc>
          <w:tcPr>
            <w:tcW w:w="852"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教学时间安排合理，课堂应变能力强。</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3</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熟练、有效地运用多媒体等现代教学手段。</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4</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CellMar>
            <w:top w:w="0" w:type="dxa"/>
            <w:left w:w="108" w:type="dxa"/>
            <w:bottom w:w="0" w:type="dxa"/>
            <w:right w:w="108" w:type="dxa"/>
          </w:tblCellMar>
        </w:tblPrEx>
        <w:trPr>
          <w:trHeight w:val="68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spacing w:val="-16"/>
                <w:kern w:val="0"/>
                <w:sz w:val="24"/>
              </w:rPr>
            </w:pPr>
            <w:r>
              <w:rPr>
                <w:rFonts w:hint="eastAsia" w:ascii="仿宋_GB2312" w:hAnsi="宋体" w:eastAsia="仿宋_GB2312"/>
                <w:spacing w:val="-16"/>
                <w:kern w:val="0"/>
                <w:sz w:val="24"/>
              </w:rPr>
              <w:t>板书设计与教学内容紧密联系、结构合理，板书与多媒体相配合，简洁、工整、美观、大小适当。</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b/>
                <w:bCs/>
                <w:kern w:val="0"/>
                <w:sz w:val="24"/>
              </w:rPr>
            </w:pPr>
            <w:r>
              <w:rPr>
                <w:rFonts w:hint="eastAsia" w:ascii="仿宋_GB2312" w:hAnsi="宋体" w:eastAsia="仿宋_GB2312"/>
                <w:kern w:val="0"/>
                <w:sz w:val="24"/>
              </w:rPr>
              <w:t>3</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CellMar>
            <w:top w:w="0" w:type="dxa"/>
            <w:left w:w="108" w:type="dxa"/>
            <w:bottom w:w="0" w:type="dxa"/>
            <w:right w:w="108" w:type="dxa"/>
          </w:tblCellMar>
        </w:tblPrEx>
        <w:trPr>
          <w:trHeight w:val="68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语言</w:t>
            </w:r>
          </w:p>
          <w:p>
            <w:pPr>
              <w:spacing w:line="300" w:lineRule="exact"/>
              <w:jc w:val="center"/>
              <w:rPr>
                <w:rFonts w:ascii="仿宋_GB2312" w:hAnsi="宋体" w:eastAsia="仿宋_GB2312"/>
                <w:kern w:val="0"/>
                <w:sz w:val="24"/>
              </w:rPr>
            </w:pPr>
            <w:r>
              <w:rPr>
                <w:rFonts w:hint="eastAsia" w:ascii="仿宋_GB2312" w:hAnsi="宋体" w:eastAsia="仿宋_GB2312"/>
                <w:kern w:val="0"/>
                <w:sz w:val="24"/>
              </w:rPr>
              <w:t>教态</w:t>
            </w:r>
          </w:p>
          <w:p>
            <w:pPr>
              <w:spacing w:line="300" w:lineRule="exact"/>
              <w:jc w:val="center"/>
              <w:rPr>
                <w:rFonts w:ascii="仿宋_GB2312" w:eastAsia="仿宋_GB2312"/>
                <w:kern w:val="0"/>
                <w:sz w:val="24"/>
              </w:rPr>
            </w:pPr>
            <w:r>
              <w:rPr>
                <w:rFonts w:hint="eastAsia" w:ascii="仿宋_GB2312" w:hAnsi="宋体" w:eastAsia="仿宋_GB2312"/>
                <w:kern w:val="0"/>
                <w:sz w:val="24"/>
              </w:rPr>
              <w:t>（10分）</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普通话讲课，语言清晰、流畅、准确、生动，语速节奏恰当。</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5</w:t>
            </w:r>
          </w:p>
        </w:tc>
        <w:tc>
          <w:tcPr>
            <w:tcW w:w="852" w:type="dxa"/>
            <w:vMerge w:val="restart"/>
            <w:tcBorders>
              <w:top w:val="nil"/>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p>
            <w:pPr>
              <w:spacing w:line="300" w:lineRule="exact"/>
              <w:jc w:val="left"/>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肢体语言运用合理、恰当，教态自然大方。</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3</w:t>
            </w:r>
          </w:p>
        </w:tc>
        <w:tc>
          <w:tcPr>
            <w:tcW w:w="852"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eastAsia="仿宋_GB2312"/>
                <w:kern w:val="0"/>
                <w:sz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r>
              <w:rPr>
                <w:rFonts w:hint="eastAsia" w:ascii="仿宋_GB2312" w:hAnsi="宋体" w:eastAsia="仿宋_GB2312"/>
                <w:kern w:val="0"/>
                <w:sz w:val="24"/>
              </w:rPr>
              <w:t>教态仪表自然得体，精神饱满，亲和力强。</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2</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CellMar>
            <w:top w:w="0" w:type="dxa"/>
            <w:left w:w="108" w:type="dxa"/>
            <w:bottom w:w="0" w:type="dxa"/>
            <w:right w:w="108" w:type="dxa"/>
          </w:tblCellMar>
        </w:tblPrEx>
        <w:trPr>
          <w:trHeight w:val="1183"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kern w:val="0"/>
                <w:sz w:val="24"/>
              </w:rPr>
            </w:pPr>
          </w:p>
        </w:tc>
        <w:tc>
          <w:tcPr>
            <w:tcW w:w="1134" w:type="dxa"/>
            <w:tcBorders>
              <w:top w:val="single" w:color="000000" w:sz="4" w:space="0"/>
              <w:left w:val="nil"/>
              <w:bottom w:val="single" w:color="000000" w:sz="4" w:space="0"/>
              <w:right w:val="nil"/>
            </w:tcBorders>
            <w:vAlign w:val="center"/>
          </w:tcPr>
          <w:p>
            <w:pPr>
              <w:spacing w:line="300" w:lineRule="exact"/>
              <w:jc w:val="center"/>
              <w:rPr>
                <w:rFonts w:ascii="仿宋_GB2312" w:hAnsi="宋体" w:eastAsia="仿宋_GB2312"/>
                <w:kern w:val="0"/>
                <w:sz w:val="24"/>
              </w:rPr>
            </w:pPr>
            <w:r>
              <w:rPr>
                <w:rFonts w:hint="eastAsia" w:ascii="仿宋_GB2312" w:hAnsi="宋体" w:eastAsia="仿宋_GB2312"/>
                <w:kern w:val="0"/>
                <w:sz w:val="24"/>
              </w:rPr>
              <w:t>教学</w:t>
            </w:r>
          </w:p>
          <w:p>
            <w:pPr>
              <w:spacing w:line="300" w:lineRule="exact"/>
              <w:jc w:val="center"/>
              <w:rPr>
                <w:rFonts w:ascii="仿宋_GB2312" w:eastAsia="仿宋_GB2312"/>
                <w:kern w:val="0"/>
                <w:sz w:val="24"/>
              </w:rPr>
            </w:pPr>
            <w:r>
              <w:rPr>
                <w:rFonts w:hint="eastAsia" w:ascii="仿宋_GB2312" w:hAnsi="宋体" w:eastAsia="仿宋_GB2312"/>
                <w:kern w:val="0"/>
                <w:sz w:val="24"/>
              </w:rPr>
              <w:t>特色</w:t>
            </w:r>
          </w:p>
          <w:p>
            <w:pPr>
              <w:spacing w:line="300" w:lineRule="exact"/>
              <w:jc w:val="center"/>
              <w:rPr>
                <w:rFonts w:ascii="仿宋_GB2312" w:eastAsia="仿宋_GB2312"/>
                <w:kern w:val="0"/>
                <w:sz w:val="24"/>
              </w:rPr>
            </w:pPr>
            <w:r>
              <w:rPr>
                <w:rFonts w:hint="eastAsia" w:ascii="仿宋_GB2312" w:hAnsi="宋体" w:eastAsia="仿宋_GB2312"/>
                <w:kern w:val="0"/>
                <w:sz w:val="24"/>
              </w:rPr>
              <w:t>（5分）</w:t>
            </w:r>
          </w:p>
        </w:tc>
        <w:tc>
          <w:tcPr>
            <w:tcW w:w="507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eastAsia="仿宋_GB2312"/>
                <w:spacing w:val="-16"/>
                <w:kern w:val="0"/>
                <w:sz w:val="24"/>
              </w:rPr>
            </w:pPr>
            <w:r>
              <w:rPr>
                <w:rFonts w:hint="eastAsia" w:ascii="仿宋_GB2312" w:hAnsi="宋体" w:eastAsia="仿宋_GB2312"/>
                <w:spacing w:val="-16"/>
                <w:kern w:val="0"/>
                <w:sz w:val="24"/>
              </w:rPr>
              <w:t>教学理念先进、风格突出、感染力强、教学效果好。</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5</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r>
        <w:tblPrEx>
          <w:tblCellMar>
            <w:top w:w="0" w:type="dxa"/>
            <w:left w:w="108" w:type="dxa"/>
            <w:bottom w:w="0" w:type="dxa"/>
            <w:right w:w="108" w:type="dxa"/>
          </w:tblCellMar>
        </w:tblPrEx>
        <w:trPr>
          <w:trHeight w:val="687" w:hRule="atLeast"/>
          <w:jc w:val="center"/>
        </w:trPr>
        <w:tc>
          <w:tcPr>
            <w:tcW w:w="2299"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评委签名</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kern w:val="0"/>
                <w:sz w:val="24"/>
              </w:rPr>
            </w:pP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hAnsi="宋体" w:eastAsia="仿宋_GB2312"/>
                <w:kern w:val="0"/>
                <w:sz w:val="24"/>
              </w:rPr>
              <w:t>合计得分</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eastAsia="仿宋_GB2312"/>
                <w:kern w:val="0"/>
                <w:sz w:val="24"/>
              </w:rPr>
            </w:pPr>
          </w:p>
        </w:tc>
      </w:tr>
    </w:tbl>
    <w:p>
      <w:pPr>
        <w:spacing w:line="540" w:lineRule="exact"/>
        <w:rPr>
          <w:rFonts w:ascii="方正小标宋简体" w:eastAsia="方正小标宋简体"/>
          <w:sz w:val="28"/>
          <w:szCs w:val="28"/>
        </w:rPr>
      </w:pPr>
      <w:r>
        <w:rPr>
          <w:rFonts w:hint="eastAsia" w:ascii="黑体" w:hAnsi="宋体" w:eastAsia="黑体" w:cs="宋体"/>
          <w:bCs/>
          <w:kern w:val="0"/>
          <w:sz w:val="28"/>
          <w:szCs w:val="28"/>
        </w:rPr>
        <w:t>注：</w:t>
      </w:r>
      <w:r>
        <w:rPr>
          <w:rFonts w:hint="eastAsia" w:ascii="楷体_GB2312" w:hAnsi="宋体" w:eastAsia="楷体_GB2312" w:cs="宋体"/>
          <w:bCs/>
          <w:kern w:val="0"/>
          <w:sz w:val="28"/>
          <w:szCs w:val="28"/>
        </w:rPr>
        <w:t>评委评分可保留小数点后两位。</w:t>
      </w:r>
    </w:p>
    <w:p>
      <w:pPr>
        <w:rPr>
          <w:rFonts w:ascii="黑体" w:hAnsi="黑体" w:eastAsia="黑体"/>
          <w:kern w:val="0"/>
          <w:sz w:val="30"/>
          <w:szCs w:val="30"/>
        </w:rPr>
        <w:sectPr>
          <w:pgSz w:w="11906" w:h="16838"/>
          <w:pgMar w:top="1713" w:right="1588" w:bottom="1713" w:left="1588" w:header="851" w:footer="902" w:gutter="0"/>
          <w:pgNumType w:fmt="numberInDash"/>
          <w:cols w:space="720" w:num="1"/>
          <w:docGrid w:type="lines" w:linePitch="312" w:charSpace="0"/>
        </w:sectPr>
      </w:pPr>
    </w:p>
    <w:p>
      <w:pPr>
        <w:rPr>
          <w:rFonts w:ascii="黑体" w:hAnsi="黑体" w:eastAsia="黑体"/>
          <w:kern w:val="0"/>
          <w:sz w:val="30"/>
          <w:szCs w:val="30"/>
        </w:rPr>
      </w:pPr>
      <w:r>
        <w:rPr>
          <w:rFonts w:hint="eastAsia" w:ascii="黑体" w:hAnsi="黑体" w:eastAsia="黑体"/>
          <w:kern w:val="0"/>
          <w:sz w:val="30"/>
          <w:szCs w:val="30"/>
        </w:rPr>
        <w:t>附件2-4</w:t>
      </w:r>
    </w:p>
    <w:p>
      <w:pPr>
        <w:snapToGrid w:val="0"/>
        <w:spacing w:line="440" w:lineRule="exact"/>
        <w:jc w:val="center"/>
        <w:rPr>
          <w:rFonts w:ascii="文鼎大标宋简" w:eastAsia="文鼎大标宋简"/>
          <w:kern w:val="0"/>
          <w:sz w:val="28"/>
          <w:szCs w:val="28"/>
        </w:rPr>
      </w:pPr>
    </w:p>
    <w:p>
      <w:pPr>
        <w:snapToGrid w:val="0"/>
        <w:spacing w:line="560" w:lineRule="exact"/>
        <w:jc w:val="center"/>
        <w:rPr>
          <w:rFonts w:ascii="方正小标宋简体" w:hAnsi="华文中宋" w:eastAsia="华文中宋"/>
          <w:bCs/>
          <w:kern w:val="0"/>
          <w:sz w:val="38"/>
          <w:szCs w:val="38"/>
        </w:rPr>
      </w:pPr>
      <w:r>
        <w:rPr>
          <w:rFonts w:hint="eastAsia" w:ascii="方正小标宋简体" w:hAnsi="华文中宋" w:eastAsia="华文中宋"/>
          <w:bCs/>
          <w:kern w:val="0"/>
          <w:sz w:val="38"/>
          <w:szCs w:val="38"/>
        </w:rPr>
        <w:t>第</w:t>
      </w:r>
      <w:r>
        <w:rPr>
          <w:rFonts w:hint="eastAsia" w:ascii="华文中宋" w:hAnsi="华文中宋" w:eastAsia="华文中宋" w:cs="华文中宋"/>
          <w:bCs/>
          <w:kern w:val="0"/>
          <w:sz w:val="38"/>
          <w:szCs w:val="38"/>
        </w:rPr>
        <w:t>六</w:t>
      </w:r>
      <w:r>
        <w:rPr>
          <w:rFonts w:hint="eastAsia" w:ascii="方正小标宋简体" w:hAnsi="华文中宋" w:eastAsia="华文中宋"/>
          <w:bCs/>
          <w:kern w:val="0"/>
          <w:sz w:val="38"/>
          <w:szCs w:val="38"/>
        </w:rPr>
        <w:t>届上海高校青年教师教学竞赛</w:t>
      </w:r>
    </w:p>
    <w:p>
      <w:pPr>
        <w:snapToGrid w:val="0"/>
        <w:spacing w:line="560" w:lineRule="exact"/>
        <w:jc w:val="center"/>
        <w:rPr>
          <w:rFonts w:ascii="方正小标宋简体" w:hAnsi="华文中宋" w:eastAsia="方正小标宋简体"/>
          <w:bCs/>
          <w:kern w:val="0"/>
          <w:sz w:val="38"/>
          <w:szCs w:val="38"/>
        </w:rPr>
      </w:pPr>
      <w:r>
        <w:rPr>
          <w:rFonts w:hint="eastAsia" w:ascii="方正小标宋简体" w:hAnsi="华文中宋" w:eastAsia="华文中宋"/>
          <w:bCs/>
          <w:kern w:val="0"/>
          <w:sz w:val="38"/>
          <w:szCs w:val="38"/>
        </w:rPr>
        <w:t>教学反思评分表</w:t>
      </w:r>
    </w:p>
    <w:p>
      <w:pPr>
        <w:spacing w:line="440" w:lineRule="exact"/>
        <w:jc w:val="left"/>
        <w:rPr>
          <w:rFonts w:ascii="宋体" w:eastAsia="仿宋_GB2312"/>
          <w:kern w:val="0"/>
          <w:sz w:val="32"/>
          <w:szCs w:val="21"/>
        </w:rPr>
      </w:pPr>
    </w:p>
    <w:p>
      <w:pPr>
        <w:widowControl/>
        <w:spacing w:line="240" w:lineRule="atLeast"/>
        <w:jc w:val="left"/>
        <w:rPr>
          <w:rFonts w:ascii="仿宋_GB2312" w:eastAsia="仿宋_GB2312"/>
          <w:kern w:val="0"/>
          <w:sz w:val="28"/>
          <w:szCs w:val="28"/>
        </w:rPr>
      </w:pPr>
      <w:r>
        <w:rPr>
          <w:rFonts w:hint="eastAsia" w:ascii="仿宋_GB2312" w:hAnsi="宋体" w:eastAsia="仿宋_GB2312"/>
          <w:kern w:val="0"/>
          <w:sz w:val="28"/>
          <w:szCs w:val="28"/>
        </w:rPr>
        <w:t>选手编号：</w:t>
      </w:r>
    </w:p>
    <w:tbl>
      <w:tblPr>
        <w:tblStyle w:val="5"/>
        <w:tblW w:w="0" w:type="auto"/>
        <w:jc w:val="center"/>
        <w:tblLayout w:type="fixed"/>
        <w:tblCellMar>
          <w:top w:w="0" w:type="dxa"/>
          <w:left w:w="108" w:type="dxa"/>
          <w:bottom w:w="0" w:type="dxa"/>
          <w:right w:w="108" w:type="dxa"/>
        </w:tblCellMar>
      </w:tblPr>
      <w:tblGrid>
        <w:gridCol w:w="1184"/>
        <w:gridCol w:w="1034"/>
        <w:gridCol w:w="2632"/>
        <w:gridCol w:w="1373"/>
        <w:gridCol w:w="495"/>
        <w:gridCol w:w="765"/>
        <w:gridCol w:w="1307"/>
      </w:tblGrid>
      <w:tr>
        <w:tblPrEx>
          <w:tblCellMar>
            <w:top w:w="0" w:type="dxa"/>
            <w:left w:w="108" w:type="dxa"/>
            <w:bottom w:w="0" w:type="dxa"/>
            <w:right w:w="108" w:type="dxa"/>
          </w:tblCellMar>
        </w:tblPrEx>
        <w:trPr>
          <w:trHeight w:val="748" w:hRule="atLeast"/>
          <w:jc w:val="center"/>
        </w:trPr>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黑体" w:eastAsia="黑体"/>
                <w:bCs/>
                <w:kern w:val="0"/>
                <w:sz w:val="28"/>
                <w:szCs w:val="28"/>
              </w:rPr>
            </w:pPr>
            <w:r>
              <w:rPr>
                <w:rFonts w:hint="eastAsia" w:ascii="黑体" w:hAnsi="宋体" w:eastAsia="黑体"/>
                <w:bCs/>
                <w:kern w:val="0"/>
                <w:sz w:val="28"/>
                <w:szCs w:val="28"/>
              </w:rPr>
              <w:t>项目</w:t>
            </w:r>
          </w:p>
        </w:tc>
        <w:tc>
          <w:tcPr>
            <w:tcW w:w="5039" w:type="dxa"/>
            <w:gridSpan w:val="3"/>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eastAsia="黑体"/>
                <w:bCs/>
                <w:kern w:val="0"/>
                <w:sz w:val="28"/>
                <w:szCs w:val="28"/>
              </w:rPr>
            </w:pPr>
            <w:r>
              <w:rPr>
                <w:rFonts w:hint="eastAsia" w:ascii="黑体" w:hAnsi="宋体" w:eastAsia="黑体"/>
                <w:bCs/>
                <w:kern w:val="0"/>
                <w:sz w:val="28"/>
                <w:szCs w:val="28"/>
              </w:rPr>
              <w:t>评测要求</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hAnsi="宋体" w:eastAsia="黑体"/>
                <w:bCs/>
                <w:kern w:val="0"/>
                <w:sz w:val="28"/>
                <w:szCs w:val="28"/>
              </w:rPr>
            </w:pPr>
            <w:r>
              <w:rPr>
                <w:rFonts w:hint="eastAsia" w:ascii="黑体" w:hAnsi="宋体" w:eastAsia="黑体"/>
                <w:bCs/>
                <w:kern w:val="0"/>
                <w:sz w:val="28"/>
                <w:szCs w:val="28"/>
              </w:rPr>
              <w:t>分值</w:t>
            </w:r>
          </w:p>
          <w:p>
            <w:pPr>
              <w:widowControl/>
              <w:spacing w:line="500" w:lineRule="exact"/>
              <w:jc w:val="center"/>
              <w:rPr>
                <w:rFonts w:ascii="黑体" w:eastAsia="黑体"/>
                <w:bCs/>
                <w:kern w:val="0"/>
                <w:sz w:val="28"/>
                <w:szCs w:val="28"/>
              </w:rPr>
            </w:pPr>
            <w:r>
              <w:rPr>
                <w:rFonts w:hint="eastAsia" w:ascii="黑体" w:hAnsi="宋体" w:eastAsia="黑体"/>
                <w:bCs/>
                <w:kern w:val="0"/>
                <w:sz w:val="28"/>
                <w:szCs w:val="28"/>
              </w:rPr>
              <w:t>（5）</w:t>
            </w:r>
          </w:p>
        </w:tc>
        <w:tc>
          <w:tcPr>
            <w:tcW w:w="1307"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eastAsia="黑体"/>
                <w:bCs/>
                <w:kern w:val="0"/>
                <w:sz w:val="28"/>
                <w:szCs w:val="28"/>
              </w:rPr>
            </w:pPr>
            <w:r>
              <w:rPr>
                <w:rFonts w:hint="eastAsia" w:ascii="黑体" w:hAnsi="宋体" w:eastAsia="黑体"/>
                <w:bCs/>
                <w:kern w:val="0"/>
                <w:sz w:val="28"/>
                <w:szCs w:val="28"/>
              </w:rPr>
              <w:t>得分</w:t>
            </w:r>
          </w:p>
        </w:tc>
      </w:tr>
      <w:tr>
        <w:tblPrEx>
          <w:tblCellMar>
            <w:top w:w="0" w:type="dxa"/>
            <w:left w:w="108" w:type="dxa"/>
            <w:bottom w:w="0" w:type="dxa"/>
            <w:right w:w="108" w:type="dxa"/>
          </w:tblCellMar>
        </w:tblPrEx>
        <w:trPr>
          <w:trHeight w:val="2420" w:hRule="atLeast"/>
          <w:jc w:val="center"/>
        </w:trPr>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仿宋_GB2312" w:eastAsia="仿宋_GB2312"/>
                <w:kern w:val="0"/>
                <w:sz w:val="28"/>
                <w:szCs w:val="28"/>
              </w:rPr>
            </w:pPr>
            <w:r>
              <w:rPr>
                <w:rFonts w:hint="eastAsia" w:ascii="仿宋_GB2312" w:hAnsi="宋体" w:eastAsia="仿宋_GB2312"/>
                <w:kern w:val="0"/>
                <w:sz w:val="28"/>
                <w:szCs w:val="28"/>
              </w:rPr>
              <w:t>教学</w:t>
            </w:r>
          </w:p>
          <w:p>
            <w:pPr>
              <w:widowControl/>
              <w:spacing w:line="500" w:lineRule="exact"/>
              <w:jc w:val="center"/>
              <w:rPr>
                <w:rFonts w:ascii="仿宋_GB2312" w:eastAsia="仿宋_GB2312"/>
                <w:kern w:val="0"/>
                <w:sz w:val="28"/>
                <w:szCs w:val="28"/>
              </w:rPr>
            </w:pPr>
            <w:r>
              <w:rPr>
                <w:rFonts w:hint="eastAsia" w:ascii="仿宋_GB2312" w:hAnsi="宋体" w:eastAsia="仿宋_GB2312"/>
                <w:kern w:val="0"/>
                <w:sz w:val="28"/>
                <w:szCs w:val="28"/>
              </w:rPr>
              <w:t>反思</w:t>
            </w:r>
          </w:p>
          <w:p>
            <w:pPr>
              <w:widowControl/>
              <w:spacing w:line="500" w:lineRule="exact"/>
              <w:jc w:val="center"/>
              <w:rPr>
                <w:rFonts w:ascii="仿宋_GB2312" w:eastAsia="仿宋_GB2312"/>
                <w:kern w:val="0"/>
                <w:sz w:val="24"/>
              </w:rPr>
            </w:pPr>
            <w:r>
              <w:rPr>
                <w:rFonts w:hint="eastAsia" w:ascii="仿宋_GB2312" w:hAnsi="宋体" w:eastAsia="仿宋_GB2312"/>
                <w:kern w:val="0"/>
                <w:sz w:val="24"/>
              </w:rPr>
              <w:t>（5分）</w:t>
            </w:r>
          </w:p>
        </w:tc>
        <w:tc>
          <w:tcPr>
            <w:tcW w:w="5039" w:type="dxa"/>
            <w:gridSpan w:val="3"/>
            <w:tcBorders>
              <w:top w:val="single" w:color="000000" w:sz="4" w:space="0"/>
              <w:left w:val="nil"/>
              <w:bottom w:val="single" w:color="000000" w:sz="4" w:space="0"/>
              <w:right w:val="single" w:color="000000" w:sz="4" w:space="0"/>
            </w:tcBorders>
            <w:vAlign w:val="center"/>
          </w:tcPr>
          <w:p>
            <w:pPr>
              <w:widowControl/>
              <w:spacing w:line="500" w:lineRule="exact"/>
              <w:rPr>
                <w:rFonts w:ascii="仿宋_GB2312" w:eastAsia="仿宋_GB2312"/>
                <w:kern w:val="0"/>
                <w:sz w:val="28"/>
                <w:szCs w:val="28"/>
              </w:rPr>
            </w:pPr>
            <w:r>
              <w:rPr>
                <w:rFonts w:hint="eastAsia" w:ascii="仿宋_GB2312" w:hAnsi="宋体" w:eastAsia="仿宋_GB2312"/>
                <w:kern w:val="0"/>
                <w:sz w:val="28"/>
                <w:szCs w:val="28"/>
              </w:rPr>
              <w:t>从教学理念、教学方法、教学过程三方面着手，做到实事求是、思路清晰、观点明确、表达流畅。</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仿宋_GB2312" w:eastAsia="仿宋_GB2312"/>
                <w:kern w:val="0"/>
                <w:sz w:val="28"/>
                <w:szCs w:val="28"/>
              </w:rPr>
            </w:pPr>
            <w:r>
              <w:rPr>
                <w:rFonts w:hint="eastAsia" w:ascii="仿宋_GB2312" w:hAnsi="宋体" w:eastAsia="仿宋_GB2312"/>
                <w:kern w:val="0"/>
                <w:sz w:val="28"/>
                <w:szCs w:val="28"/>
              </w:rPr>
              <w:t>5</w:t>
            </w:r>
          </w:p>
        </w:tc>
        <w:tc>
          <w:tcPr>
            <w:tcW w:w="1307" w:type="dxa"/>
            <w:tcBorders>
              <w:top w:val="single" w:color="000000" w:sz="4" w:space="0"/>
              <w:left w:val="nil"/>
              <w:bottom w:val="single" w:color="000000" w:sz="4" w:space="0"/>
              <w:right w:val="single" w:color="000000" w:sz="4" w:space="0"/>
            </w:tcBorders>
            <w:vAlign w:val="center"/>
          </w:tcPr>
          <w:p>
            <w:pPr>
              <w:widowControl/>
              <w:spacing w:line="500" w:lineRule="exact"/>
              <w:rPr>
                <w:rFonts w:ascii="仿宋_GB2312" w:eastAsia="仿宋_GB2312"/>
                <w:kern w:val="0"/>
                <w:sz w:val="28"/>
                <w:szCs w:val="28"/>
              </w:rPr>
            </w:pPr>
          </w:p>
        </w:tc>
      </w:tr>
      <w:tr>
        <w:tblPrEx>
          <w:tblCellMar>
            <w:top w:w="0" w:type="dxa"/>
            <w:left w:w="108" w:type="dxa"/>
            <w:bottom w:w="0" w:type="dxa"/>
            <w:right w:w="108" w:type="dxa"/>
          </w:tblCellMar>
        </w:tblPrEx>
        <w:trPr>
          <w:trHeight w:val="988" w:hRule="atLeast"/>
          <w:jc w:val="center"/>
        </w:trPr>
        <w:tc>
          <w:tcPr>
            <w:tcW w:w="2218"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kern w:val="0"/>
                <w:sz w:val="28"/>
                <w:szCs w:val="28"/>
              </w:rPr>
            </w:pPr>
            <w:r>
              <w:rPr>
                <w:rFonts w:hint="eastAsia" w:ascii="仿宋_GB2312" w:hAnsi="宋体" w:eastAsia="仿宋_GB2312"/>
                <w:kern w:val="0"/>
                <w:sz w:val="28"/>
                <w:szCs w:val="28"/>
              </w:rPr>
              <w:t>评委签名</w:t>
            </w:r>
          </w:p>
        </w:tc>
        <w:tc>
          <w:tcPr>
            <w:tcW w:w="2632" w:type="dxa"/>
            <w:tcBorders>
              <w:top w:val="single" w:color="000000" w:sz="4" w:space="0"/>
              <w:left w:val="nil"/>
              <w:bottom w:val="single" w:color="000000" w:sz="4" w:space="0"/>
              <w:right w:val="single" w:color="000000" w:sz="4" w:space="0"/>
            </w:tcBorders>
            <w:vAlign w:val="center"/>
          </w:tcPr>
          <w:p>
            <w:pPr>
              <w:spacing w:line="500" w:lineRule="exact"/>
              <w:jc w:val="center"/>
              <w:rPr>
                <w:rFonts w:ascii="仿宋_GB2312" w:eastAsia="仿宋_GB2312"/>
                <w:kern w:val="0"/>
                <w:sz w:val="28"/>
                <w:szCs w:val="28"/>
              </w:rPr>
            </w:pPr>
          </w:p>
        </w:tc>
        <w:tc>
          <w:tcPr>
            <w:tcW w:w="1868" w:type="dxa"/>
            <w:gridSpan w:val="2"/>
            <w:tcBorders>
              <w:top w:val="single" w:color="000000" w:sz="4" w:space="0"/>
              <w:left w:val="nil"/>
              <w:bottom w:val="single" w:color="000000" w:sz="4" w:space="0"/>
              <w:right w:val="single" w:color="000000" w:sz="4" w:space="0"/>
            </w:tcBorders>
            <w:vAlign w:val="center"/>
          </w:tcPr>
          <w:p>
            <w:pPr>
              <w:spacing w:line="500" w:lineRule="exact"/>
              <w:jc w:val="center"/>
              <w:rPr>
                <w:rFonts w:ascii="仿宋_GB2312" w:eastAsia="仿宋_GB2312"/>
                <w:kern w:val="0"/>
                <w:sz w:val="28"/>
                <w:szCs w:val="28"/>
              </w:rPr>
            </w:pPr>
            <w:r>
              <w:rPr>
                <w:rFonts w:hint="eastAsia" w:ascii="仿宋_GB2312" w:hAnsi="宋体" w:eastAsia="仿宋_GB2312"/>
                <w:kern w:val="0"/>
                <w:sz w:val="28"/>
                <w:szCs w:val="28"/>
              </w:rPr>
              <w:t>合计得分</w:t>
            </w:r>
          </w:p>
        </w:tc>
        <w:tc>
          <w:tcPr>
            <w:tcW w:w="2072" w:type="dxa"/>
            <w:gridSpan w:val="2"/>
            <w:tcBorders>
              <w:top w:val="single" w:color="000000" w:sz="4" w:space="0"/>
              <w:left w:val="nil"/>
              <w:bottom w:val="single" w:color="000000" w:sz="4" w:space="0"/>
              <w:right w:val="single" w:color="000000" w:sz="4" w:space="0"/>
            </w:tcBorders>
            <w:vAlign w:val="center"/>
          </w:tcPr>
          <w:p>
            <w:pPr>
              <w:spacing w:line="500" w:lineRule="exact"/>
              <w:jc w:val="center"/>
              <w:rPr>
                <w:rFonts w:ascii="仿宋_GB2312" w:eastAsia="仿宋_GB2312"/>
                <w:kern w:val="0"/>
                <w:sz w:val="28"/>
                <w:szCs w:val="28"/>
              </w:rPr>
            </w:pPr>
          </w:p>
        </w:tc>
      </w:tr>
    </w:tbl>
    <w:p>
      <w:pPr>
        <w:jc w:val="left"/>
        <w:rPr>
          <w:rFonts w:ascii="宋体" w:eastAsia="仿宋_GB2312" w:cs="宋体"/>
          <w:bCs/>
          <w:kern w:val="0"/>
          <w:sz w:val="28"/>
          <w:szCs w:val="28"/>
        </w:rPr>
      </w:pPr>
      <w:r>
        <w:rPr>
          <w:rFonts w:hint="eastAsia" w:ascii="黑体" w:hAnsi="宋体" w:eastAsia="黑体" w:cs="宋体"/>
          <w:bCs/>
          <w:kern w:val="0"/>
          <w:sz w:val="28"/>
          <w:szCs w:val="28"/>
        </w:rPr>
        <w:t>注：</w:t>
      </w:r>
      <w:r>
        <w:rPr>
          <w:rFonts w:hint="eastAsia" w:ascii="楷体_GB2312" w:hAnsi="宋体" w:eastAsia="楷体_GB2312" w:cs="宋体"/>
          <w:bCs/>
          <w:kern w:val="0"/>
          <w:sz w:val="28"/>
          <w:szCs w:val="28"/>
        </w:rPr>
        <w:t>评委评分可保留小数点后两位。</w:t>
      </w:r>
    </w:p>
    <w:p>
      <w:pPr>
        <w:spacing w:line="400" w:lineRule="exact"/>
        <w:jc w:val="left"/>
        <w:rPr>
          <w:rFonts w:ascii="宋体" w:eastAsia="仿宋_GB2312"/>
          <w:kern w:val="0"/>
          <w:sz w:val="24"/>
        </w:rPr>
      </w:pPr>
    </w:p>
    <w:p>
      <w:pPr>
        <w:spacing w:line="540" w:lineRule="exact"/>
        <w:ind w:firstLine="600" w:firstLineChars="200"/>
        <w:rPr>
          <w:rFonts w:ascii="方正小标宋简体" w:eastAsia="方正小标宋简体"/>
          <w:sz w:val="30"/>
          <w:szCs w:val="30"/>
        </w:rPr>
      </w:pPr>
    </w:p>
    <w:p>
      <w:pPr>
        <w:spacing w:line="540" w:lineRule="exact"/>
        <w:ind w:firstLine="600" w:firstLineChars="200"/>
        <w:rPr>
          <w:rFonts w:ascii="方正小标宋简体" w:eastAsia="方正小标宋简体"/>
          <w:sz w:val="30"/>
          <w:szCs w:val="30"/>
        </w:rPr>
      </w:pPr>
    </w:p>
    <w:p>
      <w:pPr>
        <w:spacing w:line="540" w:lineRule="exact"/>
        <w:ind w:firstLine="600" w:firstLineChars="200"/>
        <w:rPr>
          <w:rFonts w:ascii="方正小标宋简体" w:eastAsia="方正小标宋简体"/>
          <w:sz w:val="30"/>
          <w:szCs w:val="30"/>
        </w:rPr>
      </w:pPr>
    </w:p>
    <w:p>
      <w:pPr>
        <w:spacing w:line="540" w:lineRule="exact"/>
        <w:ind w:firstLine="600" w:firstLineChars="200"/>
        <w:rPr>
          <w:rFonts w:ascii="方正小标宋简体" w:eastAsia="方正小标宋简体"/>
          <w:sz w:val="30"/>
          <w:szCs w:val="30"/>
        </w:rPr>
      </w:pPr>
    </w:p>
    <w:p>
      <w:pPr>
        <w:spacing w:line="540" w:lineRule="exact"/>
        <w:ind w:firstLine="600" w:firstLineChars="200"/>
        <w:rPr>
          <w:rFonts w:ascii="方正小标宋简体" w:eastAsia="方正小标宋简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spacing w:line="400" w:lineRule="exact"/>
        <w:ind w:right="301"/>
        <w:rPr>
          <w:rFonts w:ascii="黑体" w:eastAsia="黑体"/>
          <w:sz w:val="30"/>
          <w:szCs w:val="30"/>
        </w:rPr>
      </w:pPr>
    </w:p>
    <w:p>
      <w:pPr>
        <w:widowControl/>
        <w:jc w:val="left"/>
        <w:rPr>
          <w:rFonts w:ascii="黑体" w:hAnsi="黑体" w:eastAsia="黑体"/>
          <w:kern w:val="0"/>
          <w:sz w:val="30"/>
          <w:szCs w:val="30"/>
        </w:rPr>
      </w:pPr>
      <w:r>
        <w:rPr>
          <w:rFonts w:hint="eastAsia" w:ascii="黑体" w:hAnsi="黑体" w:eastAsia="黑体"/>
          <w:kern w:val="0"/>
          <w:sz w:val="30"/>
          <w:szCs w:val="30"/>
        </w:rPr>
        <w:t>附件</w:t>
      </w:r>
      <w:bookmarkStart w:id="1" w:name="_GoBack"/>
      <w:bookmarkEnd w:id="1"/>
    </w:p>
    <w:p>
      <w:pPr>
        <w:snapToGrid w:val="0"/>
        <w:spacing w:line="440" w:lineRule="exact"/>
        <w:jc w:val="center"/>
        <w:rPr>
          <w:rFonts w:ascii="华文中宋" w:hAnsi="华文中宋" w:eastAsia="华文中宋" w:cs="宋体"/>
          <w:bCs/>
          <w:kern w:val="0"/>
          <w:sz w:val="36"/>
          <w:szCs w:val="36"/>
        </w:rPr>
      </w:pPr>
    </w:p>
    <w:p>
      <w:pPr>
        <w:snapToGrid w:val="0"/>
        <w:spacing w:line="560" w:lineRule="exact"/>
        <w:jc w:val="center"/>
        <w:rPr>
          <w:rFonts w:ascii="方正小标宋简体" w:hAnsi="华文中宋" w:eastAsia="华文中宋" w:cs="宋体"/>
          <w:bCs/>
          <w:kern w:val="0"/>
          <w:sz w:val="38"/>
          <w:szCs w:val="38"/>
        </w:rPr>
      </w:pPr>
      <w:r>
        <w:rPr>
          <w:rFonts w:hint="eastAsia" w:ascii="方正小标宋简体" w:hAnsi="华文中宋" w:eastAsia="华文中宋" w:cs="宋体"/>
          <w:bCs/>
          <w:kern w:val="0"/>
          <w:sz w:val="38"/>
          <w:szCs w:val="38"/>
        </w:rPr>
        <w:t>第六届上海高校青年教师教学竞赛</w:t>
      </w:r>
    </w:p>
    <w:p>
      <w:pPr>
        <w:snapToGrid w:val="0"/>
        <w:spacing w:line="560" w:lineRule="exact"/>
        <w:jc w:val="center"/>
        <w:rPr>
          <w:rFonts w:ascii="方正小标宋简体" w:hAnsi="华文中宋" w:eastAsia="方正小标宋简体" w:cs="宋体"/>
          <w:bCs/>
          <w:kern w:val="0"/>
          <w:sz w:val="38"/>
          <w:szCs w:val="38"/>
        </w:rPr>
      </w:pPr>
      <w:r>
        <w:rPr>
          <w:rFonts w:hint="eastAsia" w:ascii="方正小标宋简体" w:hAnsi="华文中宋" w:eastAsia="华文中宋" w:cs="宋体"/>
          <w:bCs/>
          <w:kern w:val="0"/>
          <w:sz w:val="38"/>
          <w:szCs w:val="38"/>
        </w:rPr>
        <w:t>参赛选手推荐表</w:t>
      </w:r>
    </w:p>
    <w:p>
      <w:pPr>
        <w:snapToGrid w:val="0"/>
        <w:spacing w:line="440" w:lineRule="exact"/>
        <w:jc w:val="center"/>
        <w:rPr>
          <w:rFonts w:ascii="华文中宋" w:hAnsi="华文中宋" w:eastAsia="华文中宋" w:cs="宋体"/>
          <w:bCs/>
          <w:kern w:val="0"/>
          <w:sz w:val="36"/>
          <w:szCs w:val="36"/>
        </w:rPr>
      </w:pPr>
    </w:p>
    <w:tbl>
      <w:tblPr>
        <w:tblStyle w:val="5"/>
        <w:tblW w:w="0" w:type="auto"/>
        <w:tblInd w:w="108" w:type="dxa"/>
        <w:tblLayout w:type="fixed"/>
        <w:tblCellMar>
          <w:top w:w="0" w:type="dxa"/>
          <w:left w:w="108" w:type="dxa"/>
          <w:bottom w:w="0" w:type="dxa"/>
          <w:right w:w="108" w:type="dxa"/>
        </w:tblCellMar>
      </w:tblPr>
      <w:tblGrid>
        <w:gridCol w:w="2042"/>
        <w:gridCol w:w="1066"/>
        <w:gridCol w:w="806"/>
        <w:gridCol w:w="951"/>
        <w:gridCol w:w="410"/>
        <w:gridCol w:w="511"/>
        <w:gridCol w:w="511"/>
        <w:gridCol w:w="911"/>
        <w:gridCol w:w="1642"/>
      </w:tblGrid>
      <w:tr>
        <w:tblPrEx>
          <w:tblCellMar>
            <w:top w:w="0" w:type="dxa"/>
            <w:left w:w="108" w:type="dxa"/>
            <w:bottom w:w="0" w:type="dxa"/>
            <w:right w:w="108" w:type="dxa"/>
          </w:tblCellMar>
        </w:tblPrEx>
        <w:trPr>
          <w:trHeight w:val="510"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仿宋_GB2312"/>
                <w:kern w:val="0"/>
                <w:sz w:val="24"/>
              </w:rPr>
            </w:pPr>
            <w:r>
              <w:rPr>
                <w:rFonts w:hint="eastAsia" w:ascii="宋体" w:hAnsi="宋体" w:eastAsia="仿宋_GB2312"/>
                <w:kern w:val="0"/>
                <w:sz w:val="24"/>
              </w:rPr>
              <w:t>姓名</w:t>
            </w:r>
          </w:p>
        </w:tc>
        <w:tc>
          <w:tcPr>
            <w:tcW w:w="106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80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性别</w:t>
            </w:r>
          </w:p>
        </w:tc>
        <w:tc>
          <w:tcPr>
            <w:tcW w:w="951"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432"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最高学历</w:t>
            </w:r>
          </w:p>
        </w:tc>
        <w:tc>
          <w:tcPr>
            <w:tcW w:w="911"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642"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r>
              <w:rPr>
                <w:rFonts w:hint="eastAsia" w:ascii="宋体" w:hAnsi="宋体" w:eastAsia="仿宋_GB2312"/>
                <w:kern w:val="0"/>
                <w:sz w:val="24"/>
              </w:rPr>
              <w:t>照</w:t>
            </w:r>
          </w:p>
          <w:p>
            <w:pPr>
              <w:widowControl/>
              <w:spacing w:line="400" w:lineRule="exact"/>
              <w:jc w:val="center"/>
              <w:rPr>
                <w:rFonts w:eastAsia="仿宋_GB2312"/>
                <w:kern w:val="0"/>
                <w:sz w:val="24"/>
              </w:rPr>
            </w:pPr>
            <w:r>
              <w:rPr>
                <w:rFonts w:hint="eastAsia" w:ascii="宋体" w:hAnsi="宋体" w:eastAsia="仿宋_GB2312"/>
                <w:kern w:val="0"/>
                <w:sz w:val="24"/>
              </w:rPr>
              <w:t>片</w:t>
            </w:r>
          </w:p>
        </w:tc>
      </w:tr>
      <w:tr>
        <w:tblPrEx>
          <w:tblCellMar>
            <w:top w:w="0" w:type="dxa"/>
            <w:left w:w="108" w:type="dxa"/>
            <w:bottom w:w="0" w:type="dxa"/>
            <w:right w:w="108" w:type="dxa"/>
          </w:tblCellMar>
        </w:tblPrEx>
        <w:trPr>
          <w:trHeight w:val="510"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仿宋_GB2312"/>
                <w:kern w:val="0"/>
                <w:sz w:val="24"/>
              </w:rPr>
            </w:pPr>
            <w:r>
              <w:rPr>
                <w:rFonts w:hint="eastAsia" w:ascii="宋体" w:hAnsi="宋体" w:eastAsia="仿宋_GB2312"/>
                <w:kern w:val="0"/>
                <w:sz w:val="24"/>
              </w:rPr>
              <w:t>出生年月</w:t>
            </w:r>
          </w:p>
        </w:tc>
        <w:tc>
          <w:tcPr>
            <w:tcW w:w="106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80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职称</w:t>
            </w:r>
          </w:p>
        </w:tc>
        <w:tc>
          <w:tcPr>
            <w:tcW w:w="951"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432" w:type="dxa"/>
            <w:gridSpan w:val="3"/>
            <w:tcBorders>
              <w:top w:val="single" w:color="000000" w:sz="4" w:space="0"/>
              <w:left w:val="nil"/>
              <w:bottom w:val="nil"/>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最高学位</w:t>
            </w:r>
          </w:p>
        </w:tc>
        <w:tc>
          <w:tcPr>
            <w:tcW w:w="911"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642" w:type="dxa"/>
            <w:vMerge w:val="continue"/>
            <w:tcBorders>
              <w:top w:val="single" w:color="000000" w:sz="4" w:space="0"/>
              <w:left w:val="nil"/>
              <w:bottom w:val="single" w:color="000000" w:sz="4" w:space="0"/>
              <w:right w:val="single" w:color="000000" w:sz="4" w:space="0"/>
            </w:tcBorders>
            <w:vAlign w:val="center"/>
          </w:tcPr>
          <w:p>
            <w:pPr>
              <w:widowControl/>
              <w:jc w:val="left"/>
              <w:rPr>
                <w:rFonts w:eastAsia="仿宋_GB2312"/>
                <w:kern w:val="0"/>
                <w:sz w:val="24"/>
              </w:rPr>
            </w:pPr>
          </w:p>
        </w:tc>
      </w:tr>
      <w:tr>
        <w:tblPrEx>
          <w:tblCellMar>
            <w:top w:w="0" w:type="dxa"/>
            <w:left w:w="108" w:type="dxa"/>
            <w:bottom w:w="0" w:type="dxa"/>
            <w:right w:w="108" w:type="dxa"/>
          </w:tblCellMar>
        </w:tblPrEx>
        <w:trPr>
          <w:trHeight w:val="510"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毕业学校</w:t>
            </w:r>
          </w:p>
        </w:tc>
        <w:tc>
          <w:tcPr>
            <w:tcW w:w="1872"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872" w:type="dxa"/>
            <w:gridSpan w:val="3"/>
            <w:tcBorders>
              <w:top w:val="single" w:color="000000" w:sz="4" w:space="0"/>
              <w:left w:val="nil"/>
              <w:bottom w:val="nil"/>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参加工作时间</w:t>
            </w:r>
          </w:p>
        </w:tc>
        <w:tc>
          <w:tcPr>
            <w:tcW w:w="1422"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642" w:type="dxa"/>
            <w:vMerge w:val="continue"/>
            <w:tcBorders>
              <w:top w:val="single" w:color="000000" w:sz="4" w:space="0"/>
              <w:left w:val="nil"/>
              <w:bottom w:val="single" w:color="000000" w:sz="4" w:space="0"/>
              <w:right w:val="single" w:color="000000" w:sz="4" w:space="0"/>
            </w:tcBorders>
            <w:vAlign w:val="center"/>
          </w:tcPr>
          <w:p>
            <w:pPr>
              <w:widowControl/>
              <w:jc w:val="left"/>
              <w:rPr>
                <w:rFonts w:eastAsia="仿宋_GB2312"/>
                <w:kern w:val="0"/>
                <w:sz w:val="24"/>
              </w:rPr>
            </w:pPr>
          </w:p>
        </w:tc>
      </w:tr>
      <w:tr>
        <w:tblPrEx>
          <w:tblCellMar>
            <w:top w:w="0" w:type="dxa"/>
            <w:left w:w="108" w:type="dxa"/>
            <w:bottom w:w="0" w:type="dxa"/>
            <w:right w:w="108" w:type="dxa"/>
          </w:tblCellMar>
        </w:tblPrEx>
        <w:trPr>
          <w:trHeight w:val="510"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身份证号</w:t>
            </w:r>
          </w:p>
        </w:tc>
        <w:tc>
          <w:tcPr>
            <w:tcW w:w="5166" w:type="dxa"/>
            <w:gridSpan w:val="7"/>
            <w:tcBorders>
              <w:top w:val="single" w:color="000000" w:sz="4" w:space="0"/>
              <w:left w:val="nil"/>
              <w:bottom w:val="single" w:color="000000" w:sz="4" w:space="0"/>
              <w:right w:val="single" w:color="000000" w:sz="4" w:space="0"/>
            </w:tcBorders>
            <w:vAlign w:val="center"/>
          </w:tcPr>
          <w:p>
            <w:pPr>
              <w:widowControl/>
              <w:spacing w:line="400" w:lineRule="exact"/>
              <w:jc w:val="left"/>
              <w:rPr>
                <w:rFonts w:eastAsia="仿宋_GB2312"/>
                <w:kern w:val="0"/>
                <w:sz w:val="24"/>
              </w:rPr>
            </w:pPr>
          </w:p>
        </w:tc>
        <w:tc>
          <w:tcPr>
            <w:tcW w:w="1642" w:type="dxa"/>
            <w:vMerge w:val="continue"/>
            <w:tcBorders>
              <w:top w:val="single" w:color="000000" w:sz="4" w:space="0"/>
              <w:left w:val="nil"/>
              <w:bottom w:val="single" w:color="000000" w:sz="4" w:space="0"/>
              <w:right w:val="single" w:color="000000" w:sz="4" w:space="0"/>
            </w:tcBorders>
            <w:vAlign w:val="center"/>
          </w:tcPr>
          <w:p>
            <w:pPr>
              <w:widowControl/>
              <w:jc w:val="left"/>
              <w:rPr>
                <w:rFonts w:eastAsia="仿宋_GB2312"/>
                <w:kern w:val="0"/>
                <w:sz w:val="24"/>
              </w:rPr>
            </w:pPr>
          </w:p>
        </w:tc>
      </w:tr>
      <w:tr>
        <w:tblPrEx>
          <w:tblCellMar>
            <w:top w:w="0" w:type="dxa"/>
            <w:left w:w="108" w:type="dxa"/>
            <w:bottom w:w="0" w:type="dxa"/>
            <w:right w:w="108" w:type="dxa"/>
          </w:tblCellMar>
        </w:tblPrEx>
        <w:trPr>
          <w:trHeight w:val="510"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仿宋_GB2312"/>
                <w:kern w:val="0"/>
                <w:sz w:val="24"/>
              </w:rPr>
            </w:pPr>
            <w:r>
              <w:rPr>
                <w:rFonts w:hint="eastAsia" w:ascii="宋体" w:hAnsi="宋体" w:eastAsia="仿宋_GB2312"/>
                <w:kern w:val="0"/>
                <w:sz w:val="24"/>
              </w:rPr>
              <w:t>工作单位</w:t>
            </w:r>
          </w:p>
        </w:tc>
        <w:tc>
          <w:tcPr>
            <w:tcW w:w="1872"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361"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r>
              <w:rPr>
                <w:rFonts w:hint="eastAsia" w:ascii="宋体" w:hAnsi="宋体" w:eastAsia="仿宋_GB2312"/>
                <w:kern w:val="0"/>
                <w:sz w:val="24"/>
              </w:rPr>
              <w:t>联系电话</w:t>
            </w:r>
          </w:p>
        </w:tc>
        <w:tc>
          <w:tcPr>
            <w:tcW w:w="1933"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left"/>
              <w:rPr>
                <w:rFonts w:eastAsia="仿宋_GB2312"/>
                <w:kern w:val="0"/>
                <w:sz w:val="24"/>
              </w:rPr>
            </w:pPr>
          </w:p>
        </w:tc>
        <w:tc>
          <w:tcPr>
            <w:tcW w:w="1642" w:type="dxa"/>
            <w:vMerge w:val="continue"/>
            <w:tcBorders>
              <w:top w:val="single" w:color="000000" w:sz="4" w:space="0"/>
              <w:left w:val="nil"/>
              <w:bottom w:val="single" w:color="000000" w:sz="4" w:space="0"/>
              <w:right w:val="single" w:color="000000" w:sz="4" w:space="0"/>
            </w:tcBorders>
            <w:vAlign w:val="center"/>
          </w:tcPr>
          <w:p>
            <w:pPr>
              <w:widowControl/>
              <w:jc w:val="left"/>
              <w:rPr>
                <w:rFonts w:eastAsia="仿宋_GB2312"/>
                <w:kern w:val="0"/>
                <w:sz w:val="24"/>
              </w:rPr>
            </w:pPr>
          </w:p>
        </w:tc>
      </w:tr>
      <w:tr>
        <w:tblPrEx>
          <w:tblCellMar>
            <w:top w:w="0" w:type="dxa"/>
            <w:left w:w="108" w:type="dxa"/>
            <w:bottom w:w="0" w:type="dxa"/>
            <w:right w:w="108" w:type="dxa"/>
          </w:tblCellMar>
        </w:tblPrEx>
        <w:trPr>
          <w:trHeight w:val="510"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参赛学科</w:t>
            </w:r>
          </w:p>
        </w:tc>
        <w:tc>
          <w:tcPr>
            <w:tcW w:w="3233"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c>
          <w:tcPr>
            <w:tcW w:w="1933"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组别</w:t>
            </w:r>
          </w:p>
        </w:tc>
        <w:tc>
          <w:tcPr>
            <w:tcW w:w="1642"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tc>
      </w:tr>
      <w:tr>
        <w:tblPrEx>
          <w:tblCellMar>
            <w:top w:w="0" w:type="dxa"/>
            <w:left w:w="108" w:type="dxa"/>
            <w:bottom w:w="0" w:type="dxa"/>
            <w:right w:w="108" w:type="dxa"/>
          </w:tblCellMar>
        </w:tblPrEx>
        <w:trPr>
          <w:trHeight w:val="2965"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学习工作</w:t>
            </w:r>
          </w:p>
          <w:p>
            <w:pPr>
              <w:widowControl/>
              <w:spacing w:line="400" w:lineRule="exact"/>
              <w:jc w:val="center"/>
              <w:rPr>
                <w:rFonts w:ascii="宋体" w:eastAsia="仿宋_GB2312"/>
                <w:kern w:val="0"/>
                <w:sz w:val="24"/>
              </w:rPr>
            </w:pPr>
            <w:r>
              <w:rPr>
                <w:rFonts w:hint="eastAsia" w:ascii="宋体" w:hAnsi="宋体" w:eastAsia="仿宋_GB2312"/>
                <w:kern w:val="0"/>
                <w:sz w:val="24"/>
              </w:rPr>
              <w:t>简历</w:t>
            </w:r>
          </w:p>
          <w:p>
            <w:pPr>
              <w:widowControl/>
              <w:spacing w:line="400" w:lineRule="exact"/>
              <w:jc w:val="center"/>
              <w:rPr>
                <w:rFonts w:eastAsia="仿宋_GB2312"/>
                <w:kern w:val="0"/>
                <w:sz w:val="24"/>
              </w:rPr>
            </w:pPr>
            <w:r>
              <w:rPr>
                <w:rFonts w:hint="eastAsia" w:ascii="宋体" w:hAnsi="宋体" w:eastAsia="仿宋_GB2312"/>
                <w:kern w:val="0"/>
                <w:sz w:val="24"/>
              </w:rPr>
              <w:t>（大学开始）</w:t>
            </w:r>
          </w:p>
        </w:tc>
        <w:tc>
          <w:tcPr>
            <w:tcW w:w="6808" w:type="dxa"/>
            <w:gridSpan w:val="8"/>
            <w:tcBorders>
              <w:top w:val="single" w:color="000000" w:sz="4" w:space="0"/>
              <w:left w:val="nil"/>
              <w:bottom w:val="single" w:color="000000" w:sz="4" w:space="0"/>
              <w:right w:val="single" w:color="000000" w:sz="4" w:space="0"/>
            </w:tcBorders>
          </w:tcPr>
          <w:p>
            <w:pPr>
              <w:widowControl/>
              <w:spacing w:line="400" w:lineRule="exact"/>
              <w:ind w:firstLine="6120"/>
              <w:rPr>
                <w:rFonts w:eastAsia="仿宋_GB2312"/>
                <w:kern w:val="0"/>
                <w:sz w:val="24"/>
              </w:rPr>
            </w:pPr>
          </w:p>
          <w:p>
            <w:pPr>
              <w:widowControl/>
              <w:spacing w:line="400" w:lineRule="exact"/>
              <w:ind w:firstLine="6120"/>
              <w:rPr>
                <w:rFonts w:eastAsia="仿宋_GB2312"/>
                <w:kern w:val="0"/>
                <w:sz w:val="24"/>
              </w:rPr>
            </w:pPr>
          </w:p>
          <w:p>
            <w:pPr>
              <w:widowControl/>
              <w:spacing w:line="400" w:lineRule="exact"/>
              <w:ind w:firstLine="6120"/>
              <w:rPr>
                <w:rFonts w:eastAsia="仿宋_GB2312"/>
                <w:kern w:val="0"/>
                <w:sz w:val="24"/>
              </w:rPr>
            </w:pPr>
          </w:p>
          <w:p>
            <w:pPr>
              <w:widowControl/>
              <w:spacing w:line="400" w:lineRule="exact"/>
              <w:ind w:firstLine="6120"/>
              <w:rPr>
                <w:rFonts w:eastAsia="仿宋_GB2312"/>
                <w:kern w:val="0"/>
                <w:sz w:val="24"/>
              </w:rPr>
            </w:pPr>
          </w:p>
          <w:p>
            <w:pPr>
              <w:widowControl/>
              <w:spacing w:line="400" w:lineRule="exact"/>
              <w:ind w:firstLine="6120"/>
              <w:rPr>
                <w:rFonts w:eastAsia="仿宋_GB2312"/>
                <w:kern w:val="0"/>
                <w:sz w:val="24"/>
              </w:rPr>
            </w:pPr>
          </w:p>
          <w:p>
            <w:pPr>
              <w:widowControl/>
              <w:spacing w:line="400" w:lineRule="exact"/>
              <w:ind w:firstLine="6120"/>
              <w:rPr>
                <w:rFonts w:eastAsia="仿宋_GB2312"/>
                <w:kern w:val="0"/>
                <w:sz w:val="24"/>
              </w:rPr>
            </w:pPr>
          </w:p>
          <w:p>
            <w:pPr>
              <w:widowControl/>
              <w:spacing w:line="400" w:lineRule="exact"/>
              <w:ind w:firstLine="6120"/>
              <w:rPr>
                <w:rFonts w:eastAsia="仿宋_GB2312"/>
                <w:kern w:val="0"/>
                <w:sz w:val="24"/>
              </w:rPr>
            </w:pPr>
          </w:p>
        </w:tc>
      </w:tr>
      <w:tr>
        <w:tblPrEx>
          <w:tblCellMar>
            <w:top w:w="0" w:type="dxa"/>
            <w:left w:w="108" w:type="dxa"/>
            <w:bottom w:w="0" w:type="dxa"/>
            <w:right w:w="108" w:type="dxa"/>
          </w:tblCellMar>
        </w:tblPrEx>
        <w:trPr>
          <w:trHeight w:val="3955" w:hRule="atLeas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仿宋_GB2312"/>
                <w:kern w:val="0"/>
                <w:sz w:val="24"/>
              </w:rPr>
            </w:pPr>
            <w:r>
              <w:rPr>
                <w:rFonts w:hint="eastAsia" w:ascii="宋体" w:hAnsi="宋体" w:eastAsia="仿宋_GB2312"/>
                <w:kern w:val="0"/>
                <w:sz w:val="24"/>
              </w:rPr>
              <w:t>2021-2024年主讲课程情况</w:t>
            </w:r>
          </w:p>
        </w:tc>
        <w:tc>
          <w:tcPr>
            <w:tcW w:w="6808" w:type="dxa"/>
            <w:gridSpan w:val="8"/>
            <w:tcBorders>
              <w:top w:val="single" w:color="000000" w:sz="4" w:space="0"/>
              <w:left w:val="nil"/>
              <w:bottom w:val="single" w:color="000000" w:sz="4" w:space="0"/>
              <w:right w:val="single" w:color="000000" w:sz="4" w:space="0"/>
            </w:tcBorders>
            <w:vAlign w:val="center"/>
          </w:tcPr>
          <w:p>
            <w:pPr>
              <w:widowControl/>
              <w:spacing w:line="400" w:lineRule="exact"/>
              <w:rPr>
                <w:rFonts w:ascii="宋体" w:eastAsia="仿宋_GB2312"/>
                <w:kern w:val="0"/>
                <w:sz w:val="24"/>
              </w:rPr>
            </w:pPr>
          </w:p>
          <w:p>
            <w:pPr>
              <w:widowControl/>
              <w:spacing w:line="400" w:lineRule="exact"/>
              <w:jc w:val="center"/>
              <w:rPr>
                <w:rFonts w:ascii="宋体" w:eastAsia="仿宋_GB2312"/>
                <w:kern w:val="0"/>
                <w:sz w:val="24"/>
              </w:rPr>
            </w:pPr>
          </w:p>
        </w:tc>
      </w:tr>
      <w:tr>
        <w:tblPrEx>
          <w:tblCellMar>
            <w:top w:w="0" w:type="dxa"/>
            <w:left w:w="108" w:type="dxa"/>
            <w:bottom w:w="0" w:type="dxa"/>
            <w:right w:w="108" w:type="dxa"/>
          </w:tblCellMar>
        </w:tblPrEx>
        <w:trPr>
          <w:trHeight w:val="2552" w:hRule="exac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发表教学</w:t>
            </w:r>
          </w:p>
          <w:p>
            <w:pPr>
              <w:widowControl/>
              <w:spacing w:line="400" w:lineRule="exact"/>
              <w:jc w:val="center"/>
              <w:rPr>
                <w:rFonts w:ascii="宋体" w:hAnsi="宋体" w:eastAsia="仿宋_GB2312"/>
                <w:kern w:val="0"/>
                <w:sz w:val="24"/>
              </w:rPr>
            </w:pPr>
            <w:r>
              <w:rPr>
                <w:rFonts w:hint="eastAsia" w:ascii="宋体" w:hAnsi="宋体" w:eastAsia="仿宋_GB2312"/>
                <w:kern w:val="0"/>
                <w:sz w:val="24"/>
              </w:rPr>
              <w:t>论文著作</w:t>
            </w:r>
          </w:p>
        </w:tc>
        <w:tc>
          <w:tcPr>
            <w:tcW w:w="6808" w:type="dxa"/>
            <w:gridSpan w:val="8"/>
            <w:tcBorders>
              <w:top w:val="single" w:color="000000" w:sz="4" w:space="0"/>
              <w:left w:val="nil"/>
              <w:bottom w:val="single" w:color="000000" w:sz="4" w:space="0"/>
              <w:right w:val="single" w:color="000000" w:sz="4" w:space="0"/>
            </w:tcBorders>
            <w:vAlign w:val="center"/>
          </w:tcPr>
          <w:p>
            <w:pPr>
              <w:widowControl/>
              <w:spacing w:line="400" w:lineRule="exact"/>
              <w:jc w:val="center"/>
              <w:rPr>
                <w:rFonts w:eastAsia="仿宋_GB2312"/>
                <w:kern w:val="0"/>
                <w:sz w:val="24"/>
              </w:rPr>
            </w:pPr>
          </w:p>
          <w:p>
            <w:pPr>
              <w:widowControl/>
              <w:spacing w:line="400" w:lineRule="exact"/>
              <w:jc w:val="center"/>
              <w:rPr>
                <w:rFonts w:eastAsia="仿宋_GB2312"/>
                <w:kern w:val="0"/>
                <w:sz w:val="24"/>
              </w:rPr>
            </w:pPr>
          </w:p>
        </w:tc>
      </w:tr>
      <w:tr>
        <w:tblPrEx>
          <w:tblCellMar>
            <w:top w:w="0" w:type="dxa"/>
            <w:left w:w="108" w:type="dxa"/>
            <w:bottom w:w="0" w:type="dxa"/>
            <w:right w:w="108" w:type="dxa"/>
          </w:tblCellMar>
        </w:tblPrEx>
        <w:trPr>
          <w:trHeight w:val="2552" w:hRule="exac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主</w:t>
            </w:r>
            <w:r>
              <w:rPr>
                <w:rFonts w:hint="eastAsia" w:ascii="宋体" w:hAnsi="宋体" w:eastAsia="仿宋_GB2312"/>
                <w:spacing w:val="-12"/>
                <w:kern w:val="0"/>
                <w:sz w:val="24"/>
              </w:rPr>
              <w:t>持、参</w:t>
            </w:r>
            <w:r>
              <w:rPr>
                <w:rFonts w:hint="eastAsia" w:ascii="宋体" w:hAnsi="宋体" w:eastAsia="仿宋_GB2312"/>
                <w:kern w:val="0"/>
                <w:sz w:val="24"/>
              </w:rPr>
              <w:t>与教学</w:t>
            </w:r>
          </w:p>
          <w:p>
            <w:pPr>
              <w:widowControl/>
              <w:spacing w:line="400" w:lineRule="exact"/>
              <w:jc w:val="center"/>
              <w:rPr>
                <w:rFonts w:ascii="宋体" w:eastAsia="仿宋_GB2312"/>
                <w:kern w:val="0"/>
                <w:sz w:val="24"/>
              </w:rPr>
            </w:pPr>
            <w:r>
              <w:rPr>
                <w:rFonts w:hint="eastAsia" w:ascii="宋体" w:hAnsi="宋体" w:eastAsia="仿宋_GB2312"/>
                <w:kern w:val="0"/>
                <w:sz w:val="24"/>
              </w:rPr>
              <w:t>改革项目</w:t>
            </w:r>
          </w:p>
        </w:tc>
        <w:tc>
          <w:tcPr>
            <w:tcW w:w="6808" w:type="dxa"/>
            <w:gridSpan w:val="8"/>
            <w:tcBorders>
              <w:top w:val="single" w:color="000000" w:sz="4" w:space="0"/>
              <w:left w:val="nil"/>
              <w:bottom w:val="single" w:color="000000" w:sz="4" w:space="0"/>
              <w:right w:val="single" w:color="000000" w:sz="4" w:space="0"/>
            </w:tcBorders>
            <w:vAlign w:val="center"/>
          </w:tcPr>
          <w:p>
            <w:pPr>
              <w:widowControl/>
              <w:spacing w:line="400" w:lineRule="exact"/>
              <w:rPr>
                <w:rFonts w:ascii="宋体" w:eastAsia="仿宋_GB2312"/>
                <w:kern w:val="0"/>
                <w:sz w:val="24"/>
              </w:rPr>
            </w:pPr>
          </w:p>
        </w:tc>
      </w:tr>
      <w:tr>
        <w:tblPrEx>
          <w:tblCellMar>
            <w:top w:w="0" w:type="dxa"/>
            <w:left w:w="108" w:type="dxa"/>
            <w:bottom w:w="0" w:type="dxa"/>
            <w:right w:w="108" w:type="dxa"/>
          </w:tblCellMar>
        </w:tblPrEx>
        <w:trPr>
          <w:trHeight w:val="2538" w:hRule="exac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教学和教书</w:t>
            </w:r>
          </w:p>
          <w:p>
            <w:pPr>
              <w:widowControl/>
              <w:spacing w:line="400" w:lineRule="exact"/>
              <w:jc w:val="center"/>
              <w:rPr>
                <w:rFonts w:ascii="宋体" w:eastAsia="仿宋_GB2312"/>
                <w:kern w:val="0"/>
                <w:sz w:val="24"/>
              </w:rPr>
            </w:pPr>
            <w:r>
              <w:rPr>
                <w:rFonts w:hint="eastAsia" w:ascii="宋体" w:hAnsi="宋体" w:eastAsia="仿宋_GB2312"/>
                <w:kern w:val="0"/>
                <w:sz w:val="24"/>
              </w:rPr>
              <w:t>育人获奖情况</w:t>
            </w:r>
          </w:p>
        </w:tc>
        <w:tc>
          <w:tcPr>
            <w:tcW w:w="6808" w:type="dxa"/>
            <w:gridSpan w:val="8"/>
            <w:tcBorders>
              <w:top w:val="single" w:color="000000" w:sz="4" w:space="0"/>
              <w:left w:val="nil"/>
              <w:bottom w:val="single" w:color="000000" w:sz="4" w:space="0"/>
              <w:right w:val="single" w:color="000000" w:sz="4" w:space="0"/>
            </w:tcBorders>
            <w:vAlign w:val="center"/>
          </w:tcPr>
          <w:p>
            <w:pPr>
              <w:widowControl/>
              <w:spacing w:line="400" w:lineRule="exact"/>
              <w:rPr>
                <w:rFonts w:eastAsia="仿宋_GB2312"/>
                <w:kern w:val="0"/>
                <w:sz w:val="24"/>
              </w:rPr>
            </w:pPr>
          </w:p>
        </w:tc>
      </w:tr>
      <w:tr>
        <w:tblPrEx>
          <w:tblCellMar>
            <w:top w:w="0" w:type="dxa"/>
            <w:left w:w="108" w:type="dxa"/>
            <w:bottom w:w="0" w:type="dxa"/>
            <w:right w:w="108" w:type="dxa"/>
          </w:tblCellMar>
        </w:tblPrEx>
        <w:trPr>
          <w:trHeight w:val="2412" w:hRule="exac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eastAsia="仿宋_GB2312"/>
                <w:kern w:val="0"/>
                <w:sz w:val="24"/>
              </w:rPr>
            </w:pPr>
            <w:r>
              <w:rPr>
                <w:rFonts w:hint="eastAsia" w:ascii="宋体" w:hAnsi="宋体" w:eastAsia="仿宋_GB2312"/>
                <w:kern w:val="0"/>
                <w:sz w:val="24"/>
              </w:rPr>
              <w:t>所在高校</w:t>
            </w:r>
          </w:p>
          <w:p>
            <w:pPr>
              <w:widowControl/>
              <w:spacing w:line="400" w:lineRule="exact"/>
              <w:jc w:val="center"/>
              <w:rPr>
                <w:rFonts w:ascii="宋体" w:eastAsia="仿宋_GB2312"/>
                <w:kern w:val="0"/>
                <w:sz w:val="24"/>
              </w:rPr>
            </w:pPr>
            <w:r>
              <w:rPr>
                <w:rFonts w:hint="eastAsia" w:ascii="宋体" w:hAnsi="宋体" w:eastAsia="仿宋_GB2312"/>
                <w:kern w:val="0"/>
                <w:sz w:val="24"/>
              </w:rPr>
              <w:t>工会意见</w:t>
            </w:r>
          </w:p>
        </w:tc>
        <w:tc>
          <w:tcPr>
            <w:tcW w:w="6808" w:type="dxa"/>
            <w:gridSpan w:val="8"/>
            <w:tcBorders>
              <w:top w:val="single" w:color="000000" w:sz="4" w:space="0"/>
              <w:left w:val="nil"/>
              <w:bottom w:val="single" w:color="000000" w:sz="4" w:space="0"/>
              <w:right w:val="single" w:color="000000" w:sz="4" w:space="0"/>
            </w:tcBorders>
            <w:vAlign w:val="bottom"/>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盖章</w:t>
            </w:r>
          </w:p>
          <w:p>
            <w:pPr>
              <w:widowControl/>
              <w:spacing w:after="62" w:afterLines="20" w:line="400" w:lineRule="exact"/>
              <w:jc w:val="center"/>
              <w:rPr>
                <w:rFonts w:ascii="宋体" w:hAnsi="宋体" w:eastAsia="仿宋_GB2312"/>
                <w:kern w:val="0"/>
                <w:sz w:val="24"/>
              </w:rPr>
            </w:pPr>
            <w:r>
              <w:rPr>
                <w:rFonts w:hint="eastAsia" w:ascii="宋体" w:hAnsi="宋体" w:eastAsia="仿宋_GB2312"/>
                <w:kern w:val="0"/>
                <w:sz w:val="24"/>
              </w:rPr>
              <w:t xml:space="preserve">          2024年   月   日</w:t>
            </w:r>
          </w:p>
        </w:tc>
      </w:tr>
      <w:tr>
        <w:tblPrEx>
          <w:tblCellMar>
            <w:top w:w="0" w:type="dxa"/>
            <w:left w:w="108" w:type="dxa"/>
            <w:bottom w:w="0" w:type="dxa"/>
            <w:right w:w="108" w:type="dxa"/>
          </w:tblCellMar>
        </w:tblPrEx>
        <w:trPr>
          <w:trHeight w:val="2574" w:hRule="exact"/>
        </w:trPr>
        <w:tc>
          <w:tcPr>
            <w:tcW w:w="20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所在高校</w:t>
            </w:r>
          </w:p>
          <w:p>
            <w:pPr>
              <w:widowControl/>
              <w:spacing w:line="400" w:lineRule="exact"/>
              <w:jc w:val="center"/>
              <w:rPr>
                <w:rFonts w:ascii="宋体" w:eastAsia="仿宋_GB2312"/>
                <w:kern w:val="0"/>
                <w:sz w:val="24"/>
              </w:rPr>
            </w:pPr>
            <w:r>
              <w:rPr>
                <w:rFonts w:hint="eastAsia" w:ascii="宋体" w:hAnsi="宋体" w:eastAsia="仿宋_GB2312"/>
                <w:kern w:val="0"/>
                <w:sz w:val="24"/>
              </w:rPr>
              <w:t>意见</w:t>
            </w:r>
          </w:p>
        </w:tc>
        <w:tc>
          <w:tcPr>
            <w:tcW w:w="6808" w:type="dxa"/>
            <w:gridSpan w:val="8"/>
            <w:tcBorders>
              <w:top w:val="single" w:color="000000" w:sz="4" w:space="0"/>
              <w:left w:val="single" w:color="000000" w:sz="4" w:space="0"/>
              <w:bottom w:val="single" w:color="000000" w:sz="4" w:space="0"/>
              <w:right w:val="single" w:color="000000" w:sz="4" w:space="0"/>
            </w:tcBorders>
            <w:vAlign w:val="bottom"/>
          </w:tcPr>
          <w:p>
            <w:pPr>
              <w:widowControl/>
              <w:spacing w:line="400" w:lineRule="exact"/>
              <w:jc w:val="center"/>
              <w:rPr>
                <w:rFonts w:ascii="宋体" w:hAnsi="宋体" w:eastAsia="仿宋_GB2312"/>
                <w:kern w:val="0"/>
                <w:sz w:val="24"/>
              </w:rPr>
            </w:pPr>
            <w:r>
              <w:rPr>
                <w:rFonts w:hint="eastAsia" w:ascii="宋体" w:hAnsi="宋体" w:eastAsia="仿宋_GB2312"/>
                <w:kern w:val="0"/>
                <w:sz w:val="24"/>
              </w:rPr>
              <w:t>盖章</w:t>
            </w:r>
          </w:p>
          <w:p>
            <w:pPr>
              <w:widowControl/>
              <w:spacing w:after="62" w:afterLines="20" w:line="400" w:lineRule="exact"/>
              <w:jc w:val="center"/>
              <w:rPr>
                <w:rFonts w:ascii="宋体" w:eastAsia="仿宋_GB2312"/>
                <w:kern w:val="0"/>
                <w:sz w:val="24"/>
              </w:rPr>
            </w:pPr>
            <w:r>
              <w:rPr>
                <w:rFonts w:hint="eastAsia" w:ascii="宋体" w:hAnsi="宋体" w:eastAsia="仿宋_GB2312"/>
                <w:kern w:val="0"/>
                <w:sz w:val="24"/>
              </w:rPr>
              <w:t xml:space="preserve">          2024 年   月   日</w:t>
            </w:r>
          </w:p>
        </w:tc>
      </w:tr>
    </w:tbl>
    <w:p/>
    <w:p>
      <w:pPr>
        <w:spacing w:line="400" w:lineRule="exact"/>
        <w:ind w:right="301"/>
        <w:rPr>
          <w:rFonts w:ascii="黑体" w:eastAsia="黑体"/>
          <w:sz w:val="30"/>
          <w:szCs w:val="30"/>
        </w:rPr>
      </w:pPr>
    </w:p>
    <w:p>
      <w:pPr>
        <w:spacing w:line="400" w:lineRule="exact"/>
        <w:ind w:right="301"/>
        <w:rPr>
          <w:rFonts w:ascii="黑体" w:eastAsia="黑体"/>
          <w:sz w:val="30"/>
          <w:szCs w:val="30"/>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721207"/>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YWRiNDhlOWQ2M2NiNDg0OTVhOTQyMThlMTcxNTgifQ=="/>
  </w:docVars>
  <w:rsids>
    <w:rsidRoot w:val="00210A42"/>
    <w:rsid w:val="0001437C"/>
    <w:rsid w:val="00080AC7"/>
    <w:rsid w:val="00095926"/>
    <w:rsid w:val="000A58BB"/>
    <w:rsid w:val="000A58FC"/>
    <w:rsid w:val="000B11DC"/>
    <w:rsid w:val="00132690"/>
    <w:rsid w:val="001802F9"/>
    <w:rsid w:val="001E3598"/>
    <w:rsid w:val="001F05D2"/>
    <w:rsid w:val="002044B7"/>
    <w:rsid w:val="00210423"/>
    <w:rsid w:val="00210A42"/>
    <w:rsid w:val="002833EF"/>
    <w:rsid w:val="00297BAE"/>
    <w:rsid w:val="002B3075"/>
    <w:rsid w:val="002C6615"/>
    <w:rsid w:val="002D1016"/>
    <w:rsid w:val="002D4937"/>
    <w:rsid w:val="002F4364"/>
    <w:rsid w:val="00333E13"/>
    <w:rsid w:val="003901E3"/>
    <w:rsid w:val="003D36A4"/>
    <w:rsid w:val="00405201"/>
    <w:rsid w:val="00501655"/>
    <w:rsid w:val="00523588"/>
    <w:rsid w:val="00594814"/>
    <w:rsid w:val="005F5357"/>
    <w:rsid w:val="00655094"/>
    <w:rsid w:val="00656D4A"/>
    <w:rsid w:val="00690A36"/>
    <w:rsid w:val="007079D2"/>
    <w:rsid w:val="0071409F"/>
    <w:rsid w:val="007C7CF3"/>
    <w:rsid w:val="007F324B"/>
    <w:rsid w:val="008B07E6"/>
    <w:rsid w:val="008B694B"/>
    <w:rsid w:val="00964B47"/>
    <w:rsid w:val="009D01FC"/>
    <w:rsid w:val="00A0270A"/>
    <w:rsid w:val="00A239BE"/>
    <w:rsid w:val="00A7336B"/>
    <w:rsid w:val="00A80420"/>
    <w:rsid w:val="00AE046C"/>
    <w:rsid w:val="00B512A2"/>
    <w:rsid w:val="00BC054B"/>
    <w:rsid w:val="00C9111B"/>
    <w:rsid w:val="00C924B3"/>
    <w:rsid w:val="00CA1449"/>
    <w:rsid w:val="00CA7FA8"/>
    <w:rsid w:val="00D613D6"/>
    <w:rsid w:val="00DB5AAA"/>
    <w:rsid w:val="00DC747A"/>
    <w:rsid w:val="00DD143E"/>
    <w:rsid w:val="00E479B1"/>
    <w:rsid w:val="00E51149"/>
    <w:rsid w:val="00E52FE2"/>
    <w:rsid w:val="00E55C42"/>
    <w:rsid w:val="00E6397C"/>
    <w:rsid w:val="00EA6849"/>
    <w:rsid w:val="00EB79AA"/>
    <w:rsid w:val="00EF0A3E"/>
    <w:rsid w:val="00F00D39"/>
    <w:rsid w:val="00F01B53"/>
    <w:rsid w:val="00F115FC"/>
    <w:rsid w:val="00F2239F"/>
    <w:rsid w:val="00F4139E"/>
    <w:rsid w:val="00F6582F"/>
    <w:rsid w:val="00F93F3D"/>
    <w:rsid w:val="00F96A6B"/>
    <w:rsid w:val="00FA113F"/>
    <w:rsid w:val="00FB5568"/>
    <w:rsid w:val="00FE3890"/>
    <w:rsid w:val="01A91171"/>
    <w:rsid w:val="03F51B4D"/>
    <w:rsid w:val="045A339B"/>
    <w:rsid w:val="05FE1BBE"/>
    <w:rsid w:val="06791974"/>
    <w:rsid w:val="08444A26"/>
    <w:rsid w:val="08860919"/>
    <w:rsid w:val="090C7884"/>
    <w:rsid w:val="098A06BB"/>
    <w:rsid w:val="0B5C3B6D"/>
    <w:rsid w:val="0C9B17BB"/>
    <w:rsid w:val="0EA16A06"/>
    <w:rsid w:val="10A2678D"/>
    <w:rsid w:val="11F528ED"/>
    <w:rsid w:val="16BF171B"/>
    <w:rsid w:val="171A5FD1"/>
    <w:rsid w:val="176A3B1B"/>
    <w:rsid w:val="19187DB0"/>
    <w:rsid w:val="1A7D4B93"/>
    <w:rsid w:val="1ACD5E00"/>
    <w:rsid w:val="1BFE573B"/>
    <w:rsid w:val="1D523C3C"/>
    <w:rsid w:val="1F95570F"/>
    <w:rsid w:val="227314AC"/>
    <w:rsid w:val="228D4F18"/>
    <w:rsid w:val="23247F0B"/>
    <w:rsid w:val="23C12F77"/>
    <w:rsid w:val="254A6022"/>
    <w:rsid w:val="25951087"/>
    <w:rsid w:val="25C428AA"/>
    <w:rsid w:val="27B61BF4"/>
    <w:rsid w:val="283C3A32"/>
    <w:rsid w:val="29352987"/>
    <w:rsid w:val="2A480FAE"/>
    <w:rsid w:val="2AC64DF9"/>
    <w:rsid w:val="2B78074E"/>
    <w:rsid w:val="2B892E2D"/>
    <w:rsid w:val="2BEF9E51"/>
    <w:rsid w:val="2C4E3D53"/>
    <w:rsid w:val="2CD23A70"/>
    <w:rsid w:val="2D947D4B"/>
    <w:rsid w:val="2DF604F0"/>
    <w:rsid w:val="2FCC4764"/>
    <w:rsid w:val="322E5C7B"/>
    <w:rsid w:val="33541C4A"/>
    <w:rsid w:val="33C87A09"/>
    <w:rsid w:val="35F714D3"/>
    <w:rsid w:val="367C1ED3"/>
    <w:rsid w:val="36AD4AB7"/>
    <w:rsid w:val="385775AE"/>
    <w:rsid w:val="38EA4FAB"/>
    <w:rsid w:val="39656FE2"/>
    <w:rsid w:val="3A3E4BFF"/>
    <w:rsid w:val="3A814B24"/>
    <w:rsid w:val="3AE13CA1"/>
    <w:rsid w:val="3EE03E65"/>
    <w:rsid w:val="3F0A38C7"/>
    <w:rsid w:val="3F6F1681"/>
    <w:rsid w:val="3F836EDA"/>
    <w:rsid w:val="431E31A2"/>
    <w:rsid w:val="444E31C4"/>
    <w:rsid w:val="44EB3558"/>
    <w:rsid w:val="457348E5"/>
    <w:rsid w:val="4A530004"/>
    <w:rsid w:val="4A804592"/>
    <w:rsid w:val="4E0D67C5"/>
    <w:rsid w:val="4F8847C5"/>
    <w:rsid w:val="50D16E98"/>
    <w:rsid w:val="512541B4"/>
    <w:rsid w:val="53A82C05"/>
    <w:rsid w:val="56505911"/>
    <w:rsid w:val="57154CAD"/>
    <w:rsid w:val="5A3D2AA6"/>
    <w:rsid w:val="5A775BD6"/>
    <w:rsid w:val="5C22558F"/>
    <w:rsid w:val="5ED47933"/>
    <w:rsid w:val="5F053010"/>
    <w:rsid w:val="609A35D6"/>
    <w:rsid w:val="60F872D1"/>
    <w:rsid w:val="60FD4AC4"/>
    <w:rsid w:val="64FA34AE"/>
    <w:rsid w:val="687E40BE"/>
    <w:rsid w:val="6C0E1756"/>
    <w:rsid w:val="6C904861"/>
    <w:rsid w:val="6EA408CF"/>
    <w:rsid w:val="70A34ECE"/>
    <w:rsid w:val="7216638B"/>
    <w:rsid w:val="734A05ED"/>
    <w:rsid w:val="73966C01"/>
    <w:rsid w:val="73C11B44"/>
    <w:rsid w:val="75A90DBF"/>
    <w:rsid w:val="768C344C"/>
    <w:rsid w:val="776B6BD0"/>
    <w:rsid w:val="789F7680"/>
    <w:rsid w:val="78E811D1"/>
    <w:rsid w:val="79AE2DC1"/>
    <w:rsid w:val="7AD95625"/>
    <w:rsid w:val="7B70623B"/>
    <w:rsid w:val="7C0C6F96"/>
    <w:rsid w:val="7D153EC6"/>
    <w:rsid w:val="7D2045B2"/>
    <w:rsid w:val="7D844870"/>
    <w:rsid w:val="7DFF10E7"/>
    <w:rsid w:val="7E531F94"/>
    <w:rsid w:val="7E5356EF"/>
    <w:rsid w:val="86EC62B7"/>
    <w:rsid w:val="AEF7120A"/>
    <w:rsid w:val="BFEE155E"/>
    <w:rsid w:val="D3757F90"/>
    <w:rsid w:val="F7F7A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0"/>
    <w:pPr>
      <w:ind w:firstLine="420" w:firstLineChars="200"/>
    </w:pPr>
    <w:rPr>
      <w:rFonts w:ascii="Calibri" w:hAnsi="Calibri"/>
      <w:szCs w:val="22"/>
    </w:rPr>
  </w:style>
  <w:style w:type="paragraph" w:customStyle="1" w:styleId="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
    <w:name w:val="页眉 Char"/>
    <w:basedOn w:val="6"/>
    <w:link w:val="4"/>
    <w:autoRedefine/>
    <w:qFormat/>
    <w:uiPriority w:val="99"/>
    <w:rPr>
      <w:rFonts w:ascii="Times New Roman" w:hAnsi="Times New Roman" w:eastAsia="宋体" w:cs="Times New Roman"/>
      <w:kern w:val="2"/>
      <w:sz w:val="18"/>
      <w:szCs w:val="18"/>
    </w:rPr>
  </w:style>
  <w:style w:type="character" w:customStyle="1" w:styleId="10">
    <w:name w:val="页脚 Char"/>
    <w:basedOn w:val="6"/>
    <w:link w:val="3"/>
    <w:autoRedefine/>
    <w:qFormat/>
    <w:uiPriority w:val="99"/>
    <w:rPr>
      <w:rFonts w:ascii="Times New Roman" w:hAnsi="Times New Roman" w:eastAsia="宋体" w:cs="Times New Roman"/>
      <w:kern w:val="2"/>
      <w:sz w:val="18"/>
      <w:szCs w:val="18"/>
    </w:rPr>
  </w:style>
  <w:style w:type="paragraph" w:customStyle="1" w:styleId="11">
    <w:name w:val="Default"/>
    <w:autoRedefine/>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12">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970</Words>
  <Characters>5532</Characters>
  <Lines>46</Lines>
  <Paragraphs>12</Paragraphs>
  <TotalTime>22</TotalTime>
  <ScaleCrop>false</ScaleCrop>
  <LinksUpToDate>false</LinksUpToDate>
  <CharactersWithSpaces>6490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2022-02-25T04:52:00Z</dcterms:created>
  <dc:creator>User</dc:creator>
  <cp:lastModifiedBy>唐三</cp:lastModifiedBy>
  <cp:lastPrinted>2024-01-25T17:06:00Z</cp:lastPrinted>
  <dcterms:modified xsi:type="dcterms:W3CDTF">2024-02-27T02:34:13Z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DBD45D7119E141D998F39F93D47A4ECD</vt:lpwstr>
  </property>
</Properties>
</file>